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37ACA">
      <w:pPr>
        <w:pStyle w:val="2"/>
        <w:spacing w:after="0" w:line="520" w:lineRule="exact"/>
        <w:ind w:left="0" w:leftChars="0"/>
        <w:rPr>
          <w:rFonts w:hint="eastAsia" w:ascii="黑体" w:hAnsi="黑体" w:eastAsia="黑体"/>
        </w:rPr>
      </w:pPr>
      <w:r>
        <w:rPr>
          <w:rFonts w:hint="eastAsia" w:ascii="黑体" w:hAnsi="黑体" w:eastAsia="黑体"/>
        </w:rPr>
        <w:t>附件1</w:t>
      </w:r>
    </w:p>
    <w:p w14:paraId="56681A5E">
      <w:pPr>
        <w:pStyle w:val="2"/>
        <w:spacing w:after="0" w:line="240" w:lineRule="exact"/>
        <w:ind w:left="0" w:leftChars="0"/>
        <w:rPr>
          <w:rFonts w:hint="eastAsia" w:ascii="黑体" w:hAnsi="黑体" w:eastAsia="黑体"/>
        </w:rPr>
      </w:pPr>
    </w:p>
    <w:p w14:paraId="3D8E980F">
      <w:pPr>
        <w:spacing w:line="52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单位消防安全集中除患攻坚大整治行动</w:t>
      </w:r>
    </w:p>
    <w:p w14:paraId="137F8897">
      <w:pPr>
        <w:spacing w:line="52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自查自改登记表</w:t>
      </w:r>
    </w:p>
    <w:p w14:paraId="3654737F">
      <w:pPr>
        <w:pStyle w:val="2"/>
        <w:spacing w:after="0" w:line="400" w:lineRule="exact"/>
        <w:ind w:left="0" w:leftChars="0"/>
        <w:rPr>
          <w:rFonts w:hint="eastAsia" w:ascii="仿宋_GB2312" w:hAnsi="宋体" w:eastAsia="仿宋_GB2312" w:cs="宋体"/>
          <w:color w:val="000000"/>
          <w:kern w:val="0"/>
          <w:sz w:val="21"/>
          <w:szCs w:val="21"/>
        </w:rPr>
      </w:pPr>
    </w:p>
    <w:p w14:paraId="5AFAC713">
      <w:pPr>
        <w:pStyle w:val="2"/>
        <w:spacing w:after="0" w:line="400" w:lineRule="exact"/>
        <w:ind w:left="0" w:leftChars="0"/>
        <w:rPr>
          <w:rFonts w:hint="eastAsia"/>
        </w:rPr>
      </w:pPr>
      <w:r>
        <w:rPr>
          <w:rFonts w:hint="eastAsia" w:ascii="仿宋_GB2312" w:hAnsi="宋体" w:eastAsia="仿宋_GB2312" w:cs="宋体"/>
          <w:color w:val="000000"/>
          <w:kern w:val="0"/>
          <w:sz w:val="21"/>
          <w:szCs w:val="21"/>
        </w:rPr>
        <w:t>单位名称（盖章）：                      审核人（签字）：               填报日期：</w:t>
      </w:r>
    </w:p>
    <w:tbl>
      <w:tblPr>
        <w:tblStyle w:val="3"/>
        <w:tblW w:w="1080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620"/>
        <w:gridCol w:w="1620"/>
        <w:gridCol w:w="900"/>
        <w:gridCol w:w="900"/>
        <w:gridCol w:w="1260"/>
        <w:gridCol w:w="900"/>
        <w:gridCol w:w="1260"/>
        <w:gridCol w:w="900"/>
      </w:tblGrid>
      <w:tr w14:paraId="3D85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1440" w:type="dxa"/>
            <w:gridSpan w:val="2"/>
            <w:noWrap w:val="0"/>
            <w:vAlign w:val="center"/>
          </w:tcPr>
          <w:p w14:paraId="6B79EE99">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单位</w:t>
            </w:r>
          </w:p>
          <w:p w14:paraId="2FDA4D08">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名称</w:t>
            </w:r>
          </w:p>
        </w:tc>
        <w:tc>
          <w:tcPr>
            <w:tcW w:w="3240" w:type="dxa"/>
            <w:gridSpan w:val="2"/>
            <w:noWrap w:val="0"/>
            <w:vAlign w:val="center"/>
          </w:tcPr>
          <w:p w14:paraId="2CEF90B1">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900" w:type="dxa"/>
            <w:noWrap w:val="0"/>
            <w:vAlign w:val="center"/>
          </w:tcPr>
          <w:p w14:paraId="06869FA9">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场所</w:t>
            </w:r>
          </w:p>
          <w:p w14:paraId="0531FA87">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性质</w:t>
            </w:r>
          </w:p>
        </w:tc>
        <w:tc>
          <w:tcPr>
            <w:tcW w:w="900" w:type="dxa"/>
            <w:noWrap w:val="0"/>
            <w:vAlign w:val="center"/>
          </w:tcPr>
          <w:p w14:paraId="48224FFF">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1260" w:type="dxa"/>
            <w:noWrap w:val="0"/>
            <w:vAlign w:val="center"/>
          </w:tcPr>
          <w:p w14:paraId="2156328E">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消防安全</w:t>
            </w:r>
            <w:r>
              <w:rPr>
                <w:rFonts w:hint="eastAsia" w:ascii="仿宋_GB2312" w:hAnsi="宋体" w:eastAsia="仿宋_GB2312" w:cs="宋体"/>
                <w:b/>
                <w:bCs/>
                <w:color w:val="000000"/>
                <w:kern w:val="0"/>
                <w:sz w:val="21"/>
                <w:szCs w:val="21"/>
              </w:rPr>
              <w:br w:type="textWrapping"/>
            </w:r>
            <w:r>
              <w:rPr>
                <w:rFonts w:hint="eastAsia" w:ascii="仿宋_GB2312" w:hAnsi="宋体" w:eastAsia="仿宋_GB2312" w:cs="宋体"/>
                <w:b/>
                <w:bCs/>
                <w:color w:val="000000"/>
                <w:kern w:val="0"/>
                <w:sz w:val="21"/>
                <w:szCs w:val="21"/>
              </w:rPr>
              <w:t>责任人</w:t>
            </w:r>
          </w:p>
        </w:tc>
        <w:tc>
          <w:tcPr>
            <w:tcW w:w="900" w:type="dxa"/>
            <w:noWrap w:val="0"/>
            <w:vAlign w:val="center"/>
          </w:tcPr>
          <w:p w14:paraId="035528AA">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1260" w:type="dxa"/>
            <w:noWrap w:val="0"/>
            <w:vAlign w:val="center"/>
          </w:tcPr>
          <w:p w14:paraId="375D4E4A">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排查人</w:t>
            </w:r>
          </w:p>
        </w:tc>
        <w:tc>
          <w:tcPr>
            <w:tcW w:w="900" w:type="dxa"/>
            <w:noWrap w:val="0"/>
            <w:vAlign w:val="center"/>
          </w:tcPr>
          <w:p w14:paraId="178FF23D">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r>
      <w:tr w14:paraId="22DC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exact"/>
        </w:trPr>
        <w:tc>
          <w:tcPr>
            <w:tcW w:w="1440" w:type="dxa"/>
            <w:gridSpan w:val="2"/>
            <w:noWrap w:val="0"/>
            <w:vAlign w:val="center"/>
          </w:tcPr>
          <w:p w14:paraId="3ACB639F">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单位</w:t>
            </w:r>
          </w:p>
          <w:p w14:paraId="14009F27">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地址</w:t>
            </w:r>
          </w:p>
        </w:tc>
        <w:tc>
          <w:tcPr>
            <w:tcW w:w="3240" w:type="dxa"/>
            <w:gridSpan w:val="2"/>
            <w:noWrap w:val="0"/>
            <w:vAlign w:val="center"/>
          </w:tcPr>
          <w:p w14:paraId="5275EED3">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900" w:type="dxa"/>
            <w:noWrap w:val="0"/>
            <w:vAlign w:val="center"/>
          </w:tcPr>
          <w:p w14:paraId="56643869">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单位基本情况（规模、人数等）</w:t>
            </w:r>
          </w:p>
        </w:tc>
        <w:tc>
          <w:tcPr>
            <w:tcW w:w="900" w:type="dxa"/>
            <w:noWrap w:val="0"/>
            <w:vAlign w:val="center"/>
          </w:tcPr>
          <w:p w14:paraId="55BF5C55">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1260" w:type="dxa"/>
            <w:noWrap w:val="0"/>
            <w:vAlign w:val="center"/>
          </w:tcPr>
          <w:p w14:paraId="7D3105C1">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联系电话</w:t>
            </w:r>
          </w:p>
        </w:tc>
        <w:tc>
          <w:tcPr>
            <w:tcW w:w="900" w:type="dxa"/>
            <w:noWrap w:val="0"/>
            <w:vAlign w:val="center"/>
          </w:tcPr>
          <w:p w14:paraId="0F2CC8FE">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1260" w:type="dxa"/>
            <w:noWrap w:val="0"/>
            <w:vAlign w:val="center"/>
          </w:tcPr>
          <w:p w14:paraId="108D734B">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排查时间</w:t>
            </w:r>
          </w:p>
        </w:tc>
        <w:tc>
          <w:tcPr>
            <w:tcW w:w="900" w:type="dxa"/>
            <w:noWrap w:val="0"/>
            <w:vAlign w:val="center"/>
          </w:tcPr>
          <w:p w14:paraId="5374EF85">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r>
      <w:tr w14:paraId="3D0E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3"/>
            <w:noWrap w:val="0"/>
            <w:vAlign w:val="center"/>
          </w:tcPr>
          <w:p w14:paraId="65690A5F">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隐患类别</w:t>
            </w:r>
          </w:p>
        </w:tc>
        <w:tc>
          <w:tcPr>
            <w:tcW w:w="1620" w:type="dxa"/>
            <w:vMerge w:val="restart"/>
            <w:noWrap w:val="0"/>
            <w:vAlign w:val="center"/>
          </w:tcPr>
          <w:p w14:paraId="4E39F923">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隐患位置（如：所在建筑名称及具体位置等）</w:t>
            </w:r>
          </w:p>
        </w:tc>
        <w:tc>
          <w:tcPr>
            <w:tcW w:w="1800" w:type="dxa"/>
            <w:gridSpan w:val="2"/>
            <w:vMerge w:val="restart"/>
            <w:noWrap w:val="0"/>
            <w:vAlign w:val="center"/>
          </w:tcPr>
          <w:p w14:paraId="1131F288">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隐患数量及具体情况</w:t>
            </w:r>
          </w:p>
        </w:tc>
        <w:tc>
          <w:tcPr>
            <w:tcW w:w="1260" w:type="dxa"/>
            <w:vMerge w:val="restart"/>
            <w:noWrap w:val="0"/>
            <w:vAlign w:val="center"/>
          </w:tcPr>
          <w:p w14:paraId="43AAE400">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整改情况</w:t>
            </w:r>
            <w:r>
              <w:rPr>
                <w:rFonts w:hint="eastAsia" w:ascii="仿宋_GB2312" w:hAnsi="宋体" w:eastAsia="仿宋_GB2312" w:cs="宋体"/>
                <w:b/>
                <w:bCs/>
                <w:color w:val="000000"/>
                <w:kern w:val="0"/>
                <w:sz w:val="21"/>
                <w:szCs w:val="21"/>
              </w:rPr>
              <w:br w:type="textWrapping"/>
            </w:r>
            <w:r>
              <w:rPr>
                <w:rFonts w:hint="eastAsia" w:ascii="仿宋_GB2312" w:hAnsi="宋体" w:eastAsia="仿宋_GB2312" w:cs="宋体"/>
                <w:b/>
                <w:bCs/>
                <w:color w:val="000000"/>
                <w:kern w:val="0"/>
                <w:sz w:val="21"/>
                <w:szCs w:val="21"/>
              </w:rPr>
              <w:t>（措施、资金、应急预案等）</w:t>
            </w:r>
          </w:p>
        </w:tc>
        <w:tc>
          <w:tcPr>
            <w:tcW w:w="900" w:type="dxa"/>
            <w:vMerge w:val="restart"/>
            <w:noWrap w:val="0"/>
            <w:vAlign w:val="center"/>
          </w:tcPr>
          <w:p w14:paraId="3C9DA588">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看护</w:t>
            </w:r>
          </w:p>
          <w:p w14:paraId="6834433B">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措施</w:t>
            </w:r>
          </w:p>
        </w:tc>
        <w:tc>
          <w:tcPr>
            <w:tcW w:w="1260" w:type="dxa"/>
            <w:vMerge w:val="restart"/>
            <w:noWrap w:val="0"/>
            <w:vAlign w:val="center"/>
          </w:tcPr>
          <w:p w14:paraId="3A90942A">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整改</w:t>
            </w:r>
          </w:p>
          <w:p w14:paraId="3080A599">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责任人</w:t>
            </w:r>
          </w:p>
        </w:tc>
        <w:tc>
          <w:tcPr>
            <w:tcW w:w="900" w:type="dxa"/>
            <w:vMerge w:val="restart"/>
            <w:noWrap w:val="0"/>
            <w:vAlign w:val="center"/>
          </w:tcPr>
          <w:p w14:paraId="20D9D54A">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整改时限及进度</w:t>
            </w:r>
          </w:p>
        </w:tc>
      </w:tr>
      <w:tr w14:paraId="5CFB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720" w:type="dxa"/>
            <w:noWrap w:val="0"/>
            <w:vAlign w:val="center"/>
          </w:tcPr>
          <w:p w14:paraId="0110DA06">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检查</w:t>
            </w:r>
          </w:p>
          <w:p w14:paraId="3B973E93">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重点</w:t>
            </w:r>
          </w:p>
        </w:tc>
        <w:tc>
          <w:tcPr>
            <w:tcW w:w="2340" w:type="dxa"/>
            <w:gridSpan w:val="2"/>
            <w:noWrap w:val="0"/>
            <w:vAlign w:val="center"/>
          </w:tcPr>
          <w:p w14:paraId="446DD9EF">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检查方向</w:t>
            </w:r>
          </w:p>
        </w:tc>
        <w:tc>
          <w:tcPr>
            <w:tcW w:w="1620" w:type="dxa"/>
            <w:vMerge w:val="continue"/>
            <w:noWrap w:val="0"/>
            <w:vAlign w:val="center"/>
          </w:tcPr>
          <w:p w14:paraId="0E51B1C2">
            <w:pPr>
              <w:widowControl/>
              <w:spacing w:line="240" w:lineRule="exact"/>
              <w:jc w:val="left"/>
              <w:rPr>
                <w:rFonts w:hint="eastAsia" w:ascii="仿宋_GB2312" w:hAnsi="宋体" w:eastAsia="仿宋_GB2312" w:cs="宋体"/>
                <w:b/>
                <w:bCs/>
                <w:color w:val="000000"/>
                <w:kern w:val="0"/>
                <w:sz w:val="21"/>
                <w:szCs w:val="21"/>
              </w:rPr>
            </w:pPr>
          </w:p>
        </w:tc>
        <w:tc>
          <w:tcPr>
            <w:tcW w:w="1800" w:type="dxa"/>
            <w:gridSpan w:val="2"/>
            <w:vMerge w:val="continue"/>
            <w:noWrap w:val="0"/>
            <w:vAlign w:val="center"/>
          </w:tcPr>
          <w:p w14:paraId="593B09D4">
            <w:pPr>
              <w:widowControl/>
              <w:spacing w:line="240" w:lineRule="exact"/>
              <w:jc w:val="left"/>
              <w:rPr>
                <w:rFonts w:hint="eastAsia" w:ascii="仿宋_GB2312" w:hAnsi="宋体" w:eastAsia="仿宋_GB2312" w:cs="宋体"/>
                <w:b/>
                <w:bCs/>
                <w:color w:val="000000"/>
                <w:kern w:val="0"/>
                <w:sz w:val="21"/>
                <w:szCs w:val="21"/>
              </w:rPr>
            </w:pPr>
          </w:p>
        </w:tc>
        <w:tc>
          <w:tcPr>
            <w:tcW w:w="1260" w:type="dxa"/>
            <w:vMerge w:val="continue"/>
            <w:noWrap w:val="0"/>
            <w:vAlign w:val="center"/>
          </w:tcPr>
          <w:p w14:paraId="107BB4CB">
            <w:pPr>
              <w:widowControl/>
              <w:spacing w:line="240" w:lineRule="exact"/>
              <w:jc w:val="left"/>
              <w:rPr>
                <w:rFonts w:hint="eastAsia" w:ascii="仿宋_GB2312" w:hAnsi="宋体" w:eastAsia="仿宋_GB2312" w:cs="宋体"/>
                <w:b/>
                <w:bCs/>
                <w:color w:val="000000"/>
                <w:kern w:val="0"/>
                <w:sz w:val="21"/>
                <w:szCs w:val="21"/>
              </w:rPr>
            </w:pPr>
          </w:p>
        </w:tc>
        <w:tc>
          <w:tcPr>
            <w:tcW w:w="900" w:type="dxa"/>
            <w:vMerge w:val="continue"/>
            <w:noWrap w:val="0"/>
            <w:vAlign w:val="center"/>
          </w:tcPr>
          <w:p w14:paraId="5B5C7102">
            <w:pPr>
              <w:widowControl/>
              <w:spacing w:line="240" w:lineRule="exact"/>
              <w:jc w:val="left"/>
              <w:rPr>
                <w:rFonts w:hint="eastAsia" w:ascii="仿宋_GB2312" w:hAnsi="宋体" w:eastAsia="仿宋_GB2312" w:cs="宋体"/>
                <w:b/>
                <w:bCs/>
                <w:color w:val="000000"/>
                <w:kern w:val="0"/>
                <w:sz w:val="21"/>
                <w:szCs w:val="21"/>
              </w:rPr>
            </w:pPr>
          </w:p>
        </w:tc>
        <w:tc>
          <w:tcPr>
            <w:tcW w:w="1260" w:type="dxa"/>
            <w:vMerge w:val="continue"/>
            <w:noWrap w:val="0"/>
            <w:vAlign w:val="center"/>
          </w:tcPr>
          <w:p w14:paraId="66E56E39">
            <w:pPr>
              <w:widowControl/>
              <w:spacing w:line="240" w:lineRule="exact"/>
              <w:jc w:val="left"/>
              <w:rPr>
                <w:rFonts w:hint="eastAsia" w:ascii="仿宋_GB2312" w:hAnsi="宋体" w:eastAsia="仿宋_GB2312" w:cs="宋体"/>
                <w:b/>
                <w:bCs/>
                <w:color w:val="000000"/>
                <w:kern w:val="0"/>
                <w:sz w:val="21"/>
                <w:szCs w:val="21"/>
              </w:rPr>
            </w:pPr>
          </w:p>
        </w:tc>
        <w:tc>
          <w:tcPr>
            <w:tcW w:w="900" w:type="dxa"/>
            <w:vMerge w:val="continue"/>
            <w:noWrap w:val="0"/>
            <w:vAlign w:val="center"/>
          </w:tcPr>
          <w:p w14:paraId="3AA6DD69">
            <w:pPr>
              <w:widowControl/>
              <w:spacing w:line="240" w:lineRule="exact"/>
              <w:jc w:val="left"/>
              <w:rPr>
                <w:rFonts w:hint="eastAsia" w:ascii="仿宋_GB2312" w:hAnsi="宋体" w:eastAsia="仿宋_GB2312" w:cs="宋体"/>
                <w:b/>
                <w:bCs/>
                <w:color w:val="000000"/>
                <w:kern w:val="0"/>
                <w:sz w:val="21"/>
                <w:szCs w:val="21"/>
              </w:rPr>
            </w:pPr>
          </w:p>
        </w:tc>
      </w:tr>
      <w:tr w14:paraId="378B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8" w:hRule="exact"/>
        </w:trPr>
        <w:tc>
          <w:tcPr>
            <w:tcW w:w="720" w:type="dxa"/>
            <w:noWrap w:val="0"/>
            <w:vAlign w:val="center"/>
          </w:tcPr>
          <w:p w14:paraId="3459EBE1">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违法违规施工作业和生产经营</w:t>
            </w:r>
          </w:p>
        </w:tc>
        <w:tc>
          <w:tcPr>
            <w:tcW w:w="2340" w:type="dxa"/>
            <w:gridSpan w:val="2"/>
            <w:noWrap w:val="0"/>
            <w:vAlign w:val="center"/>
          </w:tcPr>
          <w:p w14:paraId="522DBC58">
            <w:pPr>
              <w:widowControl/>
              <w:spacing w:line="260" w:lineRule="exact"/>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1.未经审批施工作业、无证施工作业、违规拆除作业、违规层层转包施工作业、未落实作业安全措施冒险作业。</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2.违规使用明火或者电焊、气焊作业，动火、电焊、气焊作业人员未持证上岗，电焊、气焊作业未办理动火审批手续，作业现场未采取相应的消防安全措施。</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3.动火作业未安排专门人员进行现场安全管理。</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4.施工现场动火动焊作业、带火花作业与具有火灾、爆炸风险作业交叉进行。</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5.设置在人员密集场所、地下建筑的冷库违规采用易燃可燃保温材料，冷库建设、改造、拆除施工期间未</w:t>
            </w:r>
            <w:r>
              <w:rPr>
                <w:rFonts w:hint="eastAsia" w:ascii="仿宋_GB2312" w:hAnsi="宋体" w:eastAsia="仿宋_GB2312" w:cs="宋体"/>
                <w:color w:val="000000"/>
                <w:kern w:val="0"/>
                <w:sz w:val="21"/>
                <w:szCs w:val="21"/>
                <w:lang w:val="en-US" w:eastAsia="zh-CN"/>
              </w:rPr>
              <w:t>严格</w:t>
            </w:r>
            <w:bookmarkStart w:id="0" w:name="_GoBack"/>
            <w:bookmarkEnd w:id="0"/>
            <w:r>
              <w:rPr>
                <w:rFonts w:hint="eastAsia" w:ascii="仿宋_GB2312" w:hAnsi="宋体" w:eastAsia="仿宋_GB2312" w:cs="宋体"/>
                <w:color w:val="000000"/>
                <w:kern w:val="0"/>
                <w:sz w:val="21"/>
                <w:szCs w:val="21"/>
              </w:rPr>
              <w:t>落实火灾防范措施。</w:t>
            </w:r>
          </w:p>
        </w:tc>
        <w:tc>
          <w:tcPr>
            <w:tcW w:w="1620" w:type="dxa"/>
            <w:noWrap w:val="0"/>
            <w:vAlign w:val="center"/>
          </w:tcPr>
          <w:p w14:paraId="459B4410">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1800" w:type="dxa"/>
            <w:gridSpan w:val="2"/>
            <w:noWrap w:val="0"/>
            <w:vAlign w:val="center"/>
          </w:tcPr>
          <w:p w14:paraId="7814E904">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1260" w:type="dxa"/>
            <w:noWrap w:val="0"/>
            <w:vAlign w:val="center"/>
          </w:tcPr>
          <w:p w14:paraId="64621E38">
            <w:pPr>
              <w:widowControl/>
              <w:spacing w:line="240" w:lineRule="exact"/>
              <w:ind w:right="1408" w:rightChars="440"/>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900" w:type="dxa"/>
            <w:noWrap w:val="0"/>
            <w:vAlign w:val="center"/>
          </w:tcPr>
          <w:p w14:paraId="689EA37F">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1260" w:type="dxa"/>
            <w:noWrap w:val="0"/>
            <w:vAlign w:val="center"/>
          </w:tcPr>
          <w:p w14:paraId="69488F26">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900" w:type="dxa"/>
            <w:noWrap w:val="0"/>
            <w:vAlign w:val="center"/>
          </w:tcPr>
          <w:p w14:paraId="5A0ABA24">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r>
      <w:tr w14:paraId="06A4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8" w:hRule="exact"/>
        </w:trPr>
        <w:tc>
          <w:tcPr>
            <w:tcW w:w="720" w:type="dxa"/>
            <w:noWrap w:val="0"/>
            <w:vAlign w:val="center"/>
          </w:tcPr>
          <w:p w14:paraId="22248515">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安全疏散条件不足</w:t>
            </w:r>
          </w:p>
        </w:tc>
        <w:tc>
          <w:tcPr>
            <w:tcW w:w="2340" w:type="dxa"/>
            <w:gridSpan w:val="2"/>
            <w:noWrap w:val="0"/>
            <w:vAlign w:val="center"/>
          </w:tcPr>
          <w:p w14:paraId="640456C2">
            <w:pPr>
              <w:widowControl/>
              <w:spacing w:line="240" w:lineRule="exact"/>
              <w:jc w:val="left"/>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1.占用、堵塞、封闭疏散通道、安全出口和消防车通道。</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2.安全出口和疏散楼梯数量不足、宽度不够。</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3.应急广播、应急照明、疏散指示标志损坏。</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4.未结合实际制定灭火和应急疏散预案，员工、宿管员不掌握初起火灾扑救和组织疏散逃生技能。</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5.多业态混合生产经营场所未确定责任人对共用的疏散通道、安全出口进行统一管理。</w:t>
            </w:r>
          </w:p>
        </w:tc>
        <w:tc>
          <w:tcPr>
            <w:tcW w:w="1620" w:type="dxa"/>
            <w:noWrap w:val="0"/>
            <w:vAlign w:val="center"/>
          </w:tcPr>
          <w:p w14:paraId="098B1280">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1800" w:type="dxa"/>
            <w:gridSpan w:val="2"/>
            <w:noWrap w:val="0"/>
            <w:vAlign w:val="center"/>
          </w:tcPr>
          <w:p w14:paraId="6A6ECD0C">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1260" w:type="dxa"/>
            <w:noWrap w:val="0"/>
            <w:vAlign w:val="center"/>
          </w:tcPr>
          <w:p w14:paraId="61C15E18">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900" w:type="dxa"/>
            <w:noWrap w:val="0"/>
            <w:vAlign w:val="center"/>
          </w:tcPr>
          <w:p w14:paraId="23859C35">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1260" w:type="dxa"/>
            <w:noWrap w:val="0"/>
            <w:vAlign w:val="center"/>
          </w:tcPr>
          <w:p w14:paraId="2081EC0F">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900" w:type="dxa"/>
            <w:noWrap w:val="0"/>
            <w:vAlign w:val="center"/>
          </w:tcPr>
          <w:p w14:paraId="5C9662BC">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r>
      <w:tr w14:paraId="0840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exact"/>
        </w:trPr>
        <w:tc>
          <w:tcPr>
            <w:tcW w:w="720" w:type="dxa"/>
            <w:noWrap w:val="0"/>
            <w:vAlign w:val="center"/>
          </w:tcPr>
          <w:p w14:paraId="3F49FC6B">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违规设置防盗网和广告牌</w:t>
            </w:r>
          </w:p>
        </w:tc>
        <w:tc>
          <w:tcPr>
            <w:tcW w:w="2340" w:type="dxa"/>
            <w:gridSpan w:val="2"/>
            <w:noWrap w:val="0"/>
            <w:vAlign w:val="center"/>
          </w:tcPr>
          <w:p w14:paraId="4B49831A">
            <w:pPr>
              <w:widowControl/>
              <w:spacing w:line="240" w:lineRule="exact"/>
              <w:jc w:val="left"/>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1.人员密集场所在门窗上设置影响逃生和灭火救援的防盗网、铁栅栏、广告牌等障碍物。</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2.人员密集场所户外广告牌审批时未依法依规核对是否影响建筑物公共安全。</w:t>
            </w:r>
          </w:p>
        </w:tc>
        <w:tc>
          <w:tcPr>
            <w:tcW w:w="1620" w:type="dxa"/>
            <w:noWrap w:val="0"/>
            <w:vAlign w:val="center"/>
          </w:tcPr>
          <w:p w14:paraId="6F2CAC4D">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1800" w:type="dxa"/>
            <w:gridSpan w:val="2"/>
            <w:noWrap w:val="0"/>
            <w:vAlign w:val="center"/>
          </w:tcPr>
          <w:p w14:paraId="05FFA833">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1260" w:type="dxa"/>
            <w:noWrap w:val="0"/>
            <w:vAlign w:val="center"/>
          </w:tcPr>
          <w:p w14:paraId="61A627F2">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900" w:type="dxa"/>
            <w:noWrap w:val="0"/>
            <w:vAlign w:val="center"/>
          </w:tcPr>
          <w:p w14:paraId="610D489D">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1260" w:type="dxa"/>
            <w:noWrap w:val="0"/>
            <w:vAlign w:val="center"/>
          </w:tcPr>
          <w:p w14:paraId="4362A0AF">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900" w:type="dxa"/>
            <w:noWrap w:val="0"/>
            <w:vAlign w:val="center"/>
          </w:tcPr>
          <w:p w14:paraId="1575EC08">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r>
      <w:tr w14:paraId="2B41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exact"/>
        </w:trPr>
        <w:tc>
          <w:tcPr>
            <w:tcW w:w="720" w:type="dxa"/>
            <w:noWrap w:val="0"/>
            <w:vAlign w:val="center"/>
          </w:tcPr>
          <w:p w14:paraId="6928111A">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防火分隔</w:t>
            </w:r>
          </w:p>
        </w:tc>
        <w:tc>
          <w:tcPr>
            <w:tcW w:w="2340" w:type="dxa"/>
            <w:gridSpan w:val="2"/>
            <w:noWrap w:val="0"/>
            <w:vAlign w:val="center"/>
          </w:tcPr>
          <w:p w14:paraId="0161BBA3">
            <w:pPr>
              <w:widowControl/>
              <w:spacing w:line="240" w:lineRule="exact"/>
              <w:jc w:val="left"/>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未按要求设置防火分区；防火门、防火卷帘、防火墙等损坏严重，不具备防火分隔功能；电缆井、管道井等防火封堵不严密；混合生产经营场所内违规设置员工宿舍。</w:t>
            </w:r>
          </w:p>
        </w:tc>
        <w:tc>
          <w:tcPr>
            <w:tcW w:w="1620" w:type="dxa"/>
            <w:noWrap w:val="0"/>
            <w:vAlign w:val="center"/>
          </w:tcPr>
          <w:p w14:paraId="65ECF24C">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1800" w:type="dxa"/>
            <w:gridSpan w:val="2"/>
            <w:noWrap w:val="0"/>
            <w:vAlign w:val="center"/>
          </w:tcPr>
          <w:p w14:paraId="140E5B58">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1260" w:type="dxa"/>
            <w:noWrap w:val="0"/>
            <w:vAlign w:val="center"/>
          </w:tcPr>
          <w:p w14:paraId="51C20340">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900" w:type="dxa"/>
            <w:noWrap w:val="0"/>
            <w:vAlign w:val="center"/>
          </w:tcPr>
          <w:p w14:paraId="583EBDBB">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1260" w:type="dxa"/>
            <w:noWrap w:val="0"/>
            <w:vAlign w:val="center"/>
          </w:tcPr>
          <w:p w14:paraId="396EAB6F">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900" w:type="dxa"/>
            <w:noWrap w:val="0"/>
            <w:vAlign w:val="center"/>
          </w:tcPr>
          <w:p w14:paraId="2FC6503B">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r>
      <w:tr w14:paraId="35ED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exact"/>
        </w:trPr>
        <w:tc>
          <w:tcPr>
            <w:tcW w:w="720" w:type="dxa"/>
            <w:noWrap w:val="0"/>
            <w:vAlign w:val="center"/>
          </w:tcPr>
          <w:p w14:paraId="1E27C979">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消防设施设备</w:t>
            </w:r>
          </w:p>
        </w:tc>
        <w:tc>
          <w:tcPr>
            <w:tcW w:w="2340" w:type="dxa"/>
            <w:gridSpan w:val="2"/>
            <w:noWrap w:val="0"/>
            <w:vAlign w:val="center"/>
          </w:tcPr>
          <w:p w14:paraId="0A0F642D">
            <w:pPr>
              <w:widowControl/>
              <w:spacing w:line="240" w:lineRule="exact"/>
              <w:jc w:val="left"/>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未按要求设置室内消火栓系统，或水压、水量不能满足灭火需求；未按要求设置火灾自动报警、自动喷水灭火、气体灭火、防排烟等设施，或消防设施系统损坏瘫痪无法正常使用，不具备防灭火功能。</w:t>
            </w:r>
          </w:p>
        </w:tc>
        <w:tc>
          <w:tcPr>
            <w:tcW w:w="1620" w:type="dxa"/>
            <w:noWrap w:val="0"/>
            <w:vAlign w:val="center"/>
          </w:tcPr>
          <w:p w14:paraId="7FAE4398">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900" w:type="dxa"/>
            <w:noWrap w:val="0"/>
            <w:vAlign w:val="center"/>
          </w:tcPr>
          <w:p w14:paraId="17416187">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900" w:type="dxa"/>
            <w:noWrap w:val="0"/>
            <w:vAlign w:val="center"/>
          </w:tcPr>
          <w:p w14:paraId="1881F6CC">
            <w:pPr>
              <w:widowControl/>
              <w:spacing w:line="240" w:lineRule="exact"/>
              <w:jc w:val="center"/>
              <w:rPr>
                <w:rFonts w:hint="eastAsia" w:ascii="仿宋_GB2312" w:hAnsi="宋体" w:eastAsia="仿宋_GB2312" w:cs="宋体"/>
                <w:b/>
                <w:bCs/>
                <w:color w:val="000000"/>
                <w:kern w:val="0"/>
                <w:sz w:val="21"/>
                <w:szCs w:val="21"/>
              </w:rPr>
            </w:pPr>
          </w:p>
        </w:tc>
        <w:tc>
          <w:tcPr>
            <w:tcW w:w="1260" w:type="dxa"/>
            <w:noWrap w:val="0"/>
            <w:vAlign w:val="center"/>
          </w:tcPr>
          <w:p w14:paraId="5D863F24">
            <w:pPr>
              <w:widowControl/>
              <w:spacing w:line="240" w:lineRule="exact"/>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p w14:paraId="098BB889">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900" w:type="dxa"/>
            <w:noWrap w:val="0"/>
            <w:vAlign w:val="center"/>
          </w:tcPr>
          <w:p w14:paraId="1A67465B">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1260" w:type="dxa"/>
            <w:noWrap w:val="0"/>
            <w:vAlign w:val="center"/>
          </w:tcPr>
          <w:p w14:paraId="69571164">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900" w:type="dxa"/>
            <w:noWrap w:val="0"/>
            <w:vAlign w:val="center"/>
          </w:tcPr>
          <w:p w14:paraId="06483007">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r>
      <w:tr w14:paraId="01AB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exact"/>
        </w:trPr>
        <w:tc>
          <w:tcPr>
            <w:tcW w:w="720" w:type="dxa"/>
            <w:noWrap w:val="0"/>
            <w:vAlign w:val="center"/>
          </w:tcPr>
          <w:p w14:paraId="6D0769A9">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三合一</w:t>
            </w:r>
          </w:p>
        </w:tc>
        <w:tc>
          <w:tcPr>
            <w:tcW w:w="2340" w:type="dxa"/>
            <w:gridSpan w:val="2"/>
            <w:noWrap w:val="0"/>
            <w:vAlign w:val="center"/>
          </w:tcPr>
          <w:p w14:paraId="3B2C5BB5">
            <w:pPr>
              <w:widowControl/>
              <w:spacing w:line="240" w:lineRule="exact"/>
              <w:jc w:val="left"/>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生产（仓储）、经营场所违规住人或防火分隔不到位。</w:t>
            </w:r>
          </w:p>
        </w:tc>
        <w:tc>
          <w:tcPr>
            <w:tcW w:w="1620" w:type="dxa"/>
            <w:noWrap w:val="0"/>
            <w:vAlign w:val="center"/>
          </w:tcPr>
          <w:p w14:paraId="002B92E3">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900" w:type="dxa"/>
            <w:noWrap w:val="0"/>
            <w:vAlign w:val="center"/>
          </w:tcPr>
          <w:p w14:paraId="3FD87114">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900" w:type="dxa"/>
            <w:noWrap w:val="0"/>
            <w:vAlign w:val="center"/>
          </w:tcPr>
          <w:p w14:paraId="1E72676C">
            <w:pPr>
              <w:widowControl/>
              <w:spacing w:line="240" w:lineRule="exact"/>
              <w:jc w:val="center"/>
              <w:rPr>
                <w:rFonts w:hint="eastAsia" w:ascii="仿宋_GB2312" w:hAnsi="宋体" w:eastAsia="仿宋_GB2312" w:cs="宋体"/>
                <w:b/>
                <w:bCs/>
                <w:color w:val="000000"/>
                <w:kern w:val="0"/>
                <w:sz w:val="21"/>
                <w:szCs w:val="21"/>
              </w:rPr>
            </w:pPr>
          </w:p>
        </w:tc>
        <w:tc>
          <w:tcPr>
            <w:tcW w:w="1260" w:type="dxa"/>
            <w:noWrap w:val="0"/>
            <w:vAlign w:val="center"/>
          </w:tcPr>
          <w:p w14:paraId="7E57148E">
            <w:pPr>
              <w:widowControl/>
              <w:spacing w:line="240" w:lineRule="exact"/>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p w14:paraId="61119490">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900" w:type="dxa"/>
            <w:noWrap w:val="0"/>
            <w:vAlign w:val="center"/>
          </w:tcPr>
          <w:p w14:paraId="031D054B">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1260" w:type="dxa"/>
            <w:noWrap w:val="0"/>
            <w:vAlign w:val="center"/>
          </w:tcPr>
          <w:p w14:paraId="3344E2B0">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c>
          <w:tcPr>
            <w:tcW w:w="900" w:type="dxa"/>
            <w:noWrap w:val="0"/>
            <w:vAlign w:val="center"/>
          </w:tcPr>
          <w:p w14:paraId="02DBDF0C">
            <w:pPr>
              <w:widowControl/>
              <w:spacing w:line="240" w:lineRule="exact"/>
              <w:jc w:val="center"/>
              <w:rPr>
                <w:rFonts w:hint="eastAsia"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　</w:t>
            </w:r>
          </w:p>
        </w:tc>
      </w:tr>
    </w:tbl>
    <w:p w14:paraId="3F0B7D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C4357B0-EA48-4A06-9042-41409D33DAE6}"/>
  </w:font>
  <w:font w:name="方正小标宋简体">
    <w:panose1 w:val="02000000000000000000"/>
    <w:charset w:val="86"/>
    <w:family w:val="script"/>
    <w:pitch w:val="default"/>
    <w:sig w:usb0="00000001" w:usb1="08000000" w:usb2="00000000" w:usb3="00000000" w:csb0="00040000" w:csb1="00000000"/>
    <w:embedRegular r:id="rId2" w:fontKey="{320674BE-3944-46A9-A525-7D8056A829BE}"/>
  </w:font>
  <w:font w:name="仿宋_GB2312">
    <w:altName w:val="仿宋"/>
    <w:panose1 w:val="02010609030101010101"/>
    <w:charset w:val="86"/>
    <w:family w:val="modern"/>
    <w:pitch w:val="default"/>
    <w:sig w:usb0="00000000" w:usb1="00000000" w:usb2="00000010" w:usb3="00000000" w:csb0="00040000" w:csb1="00000000"/>
    <w:embedRegular r:id="rId3" w:fontKey="{7B4038F8-AE85-4372-87B3-82C8798234A3}"/>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C11CC"/>
    <w:rsid w:val="313C11CC"/>
    <w:rsid w:val="7C815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文本缩进 21"/>
    <w:basedOn w:val="1"/>
    <w:qFormat/>
    <w:uiPriority w:val="0"/>
    <w:pPr>
      <w:spacing w:after="120" w:line="480" w:lineRule="auto"/>
      <w:ind w:left="20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846</Words>
  <Characters>858</Characters>
  <Lines>0</Lines>
  <Paragraphs>0</Paragraphs>
  <TotalTime>0</TotalTime>
  <ScaleCrop>false</ScaleCrop>
  <LinksUpToDate>false</LinksUpToDate>
  <CharactersWithSpaces>941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2026-06-18T08:05:00Z</dcterms:created>
  <dc:creator>丸子爱樱桃</dc:creator>
  <cp:lastModifiedBy>丸子爱樱桃</cp:lastModifiedBy>
  <dcterms:modified xsi:type="dcterms:W3CDTF">2026-06-18T08:09:59Z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5551B18763AA4F8F9D9BAC7C0745741F_11</vt:lpwstr>
  </property>
  <property fmtid="{D5CDD505-2E9C-101B-9397-08002B2CF9AE}" pid="4" name="KSOTemplateDocerSaveRecord">
    <vt:lpwstr>eyJoZGlkIjoiOGNjMmM2YzU3OTYyNGI0YTFkZWY1MTNmNmZhMzNmODYiLCJ1c2VySWQiOiI0NDYzMTM5MTMifQ==</vt:lpwstr>
  </property>
</Properties>
</file>