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615" w:tblpY="140"/>
        <w:tblOverlap w:val="never"/>
        <w:tblW w:w="0" w:type="auto"/>
        <w:tblInd w:w="0" w:type="dxa"/>
        <w:tblLayout w:type="fixed"/>
        <w:tblCellMar>
          <w:top w:w="0" w:type="dxa"/>
          <w:left w:w="108" w:type="dxa"/>
          <w:bottom w:w="0" w:type="dxa"/>
          <w:right w:w="108" w:type="dxa"/>
        </w:tblCellMar>
      </w:tblPr>
      <w:tblGrid>
        <w:gridCol w:w="7035"/>
        <w:gridCol w:w="1911"/>
      </w:tblGrid>
      <w:tr>
        <w:tblPrEx>
          <w:tblCellMar>
            <w:top w:w="0" w:type="dxa"/>
            <w:left w:w="108" w:type="dxa"/>
            <w:bottom w:w="0" w:type="dxa"/>
            <w:right w:w="108" w:type="dxa"/>
          </w:tblCellMar>
        </w:tblPrEx>
        <w:trPr>
          <w:trHeight w:val="1661" w:hRule="atLeast"/>
        </w:trPr>
        <w:tc>
          <w:tcPr>
            <w:tcW w:w="7035" w:type="dxa"/>
            <w:noWrap w:val="0"/>
            <w:vAlign w:val="center"/>
          </w:tcPr>
          <w:p>
            <w:pPr>
              <w:autoSpaceDE w:val="0"/>
              <w:spacing w:line="1000" w:lineRule="exact"/>
              <w:rPr>
                <w:rFonts w:hint="eastAsia" w:ascii="方正小标宋简体" w:eastAsia="方正小标宋简体"/>
                <w:color w:val="FF0000"/>
                <w:spacing w:val="90"/>
                <w:sz w:val="80"/>
                <w:szCs w:val="80"/>
              </w:rPr>
            </w:pPr>
            <w:r>
              <w:rPr>
                <w:rFonts w:hint="eastAsia" w:ascii="方正小标宋简体" w:eastAsia="方正小标宋简体"/>
                <w:color w:val="FF0000"/>
                <w:spacing w:val="160"/>
                <w:kern w:val="0"/>
                <w:sz w:val="80"/>
                <w:szCs w:val="80"/>
              </w:rPr>
              <w:t>泉州市司法</w:t>
            </w:r>
            <w:r>
              <w:rPr>
                <w:rFonts w:hint="eastAsia" w:ascii="方正小标宋简体" w:eastAsia="方正小标宋简体"/>
                <w:color w:val="FF0000"/>
                <w:kern w:val="0"/>
                <w:sz w:val="80"/>
                <w:szCs w:val="80"/>
              </w:rPr>
              <w:t>局</w:t>
            </w:r>
          </w:p>
        </w:tc>
        <w:tc>
          <w:tcPr>
            <w:tcW w:w="1911" w:type="dxa"/>
            <w:vMerge w:val="restart"/>
            <w:noWrap w:val="0"/>
            <w:vAlign w:val="center"/>
          </w:tcPr>
          <w:p>
            <w:pPr>
              <w:jc w:val="center"/>
              <w:rPr>
                <w:rFonts w:hint="eastAsia" w:ascii="方正小标宋简体" w:eastAsia="方正小标宋简体"/>
                <w:color w:val="FF0000"/>
                <w:sz w:val="80"/>
                <w:szCs w:val="80"/>
              </w:rPr>
            </w:pPr>
            <w:r>
              <w:rPr>
                <w:rFonts w:hint="eastAsia" w:ascii="方正小标宋简体" w:eastAsia="方正小标宋简体"/>
                <w:color w:val="FF0000"/>
                <w:sz w:val="80"/>
                <w:szCs w:val="80"/>
              </w:rPr>
              <w:t>文件</w:t>
            </w:r>
          </w:p>
        </w:tc>
      </w:tr>
      <w:tr>
        <w:tblPrEx>
          <w:tblCellMar>
            <w:top w:w="0" w:type="dxa"/>
            <w:left w:w="108" w:type="dxa"/>
            <w:bottom w:w="0" w:type="dxa"/>
            <w:right w:w="108" w:type="dxa"/>
          </w:tblCellMar>
        </w:tblPrEx>
        <w:trPr>
          <w:trHeight w:val="1963" w:hRule="atLeast"/>
        </w:trPr>
        <w:tc>
          <w:tcPr>
            <w:tcW w:w="7035" w:type="dxa"/>
            <w:noWrap w:val="0"/>
            <w:vAlign w:val="center"/>
          </w:tcPr>
          <w:p>
            <w:pPr>
              <w:autoSpaceDE w:val="0"/>
              <w:spacing w:line="1000" w:lineRule="exact"/>
              <w:rPr>
                <w:rFonts w:hint="eastAsia" w:ascii="方正小标宋简体" w:eastAsia="方正小标宋简体"/>
                <w:color w:val="FF0000"/>
                <w:spacing w:val="200"/>
                <w:sz w:val="80"/>
                <w:szCs w:val="80"/>
              </w:rPr>
            </w:pPr>
            <w:r>
              <w:rPr>
                <w:rFonts w:hint="eastAsia" w:ascii="方正小标宋简体" w:eastAsia="方正小标宋简体"/>
                <w:color w:val="FF0000"/>
                <w:spacing w:val="160"/>
                <w:kern w:val="0"/>
                <w:sz w:val="80"/>
                <w:szCs w:val="80"/>
              </w:rPr>
              <w:t>泉州市财政</w:t>
            </w:r>
            <w:r>
              <w:rPr>
                <w:rFonts w:hint="eastAsia" w:ascii="方正小标宋简体" w:eastAsia="方正小标宋简体"/>
                <w:color w:val="FF0000"/>
                <w:kern w:val="0"/>
                <w:sz w:val="80"/>
                <w:szCs w:val="80"/>
              </w:rPr>
              <w:t>局</w:t>
            </w:r>
          </w:p>
        </w:tc>
        <w:tc>
          <w:tcPr>
            <w:tcW w:w="1911" w:type="dxa"/>
            <w:vMerge w:val="continue"/>
            <w:noWrap w:val="0"/>
            <w:vAlign w:val="top"/>
          </w:tcPr>
          <w:p>
            <w:pPr>
              <w:autoSpaceDE w:val="0"/>
              <w:spacing w:line="490" w:lineRule="exact"/>
              <w:jc w:val="center"/>
              <w:rPr>
                <w:rFonts w:hint="eastAsia" w:ascii="方正小标宋简体" w:eastAsia="方正小标宋简体"/>
                <w:color w:val="FF0000"/>
                <w:sz w:val="36"/>
                <w:szCs w:val="36"/>
              </w:rPr>
            </w:pPr>
          </w:p>
        </w:tc>
      </w:tr>
    </w:tbl>
    <w:p>
      <w:pPr>
        <w:autoSpaceDE w:val="0"/>
        <w:spacing w:line="490" w:lineRule="exact"/>
        <w:rPr>
          <w:rFonts w:hint="eastAsia" w:ascii="仿宋_GB2312" w:eastAsia="仿宋_GB2312"/>
          <w:sz w:val="32"/>
          <w:szCs w:val="32"/>
        </w:rPr>
      </w:pPr>
    </w:p>
    <w:p>
      <w:pPr>
        <w:autoSpaceDE w:val="0"/>
        <w:spacing w:line="490" w:lineRule="exact"/>
        <w:jc w:val="center"/>
        <w:rPr>
          <w:rFonts w:hint="eastAsia" w:ascii="仿宋_GB2312" w:eastAsia="仿宋_GB2312"/>
          <w:sz w:val="32"/>
          <w:szCs w:val="32"/>
        </w:rPr>
      </w:pPr>
      <w:r>
        <w:rPr>
          <w:rFonts w:hint="eastAsia" w:ascii="仿宋_GB2312" w:eastAsia="仿宋_GB2312"/>
          <w:sz w:val="32"/>
          <w:szCs w:val="32"/>
        </w:rPr>
        <w:t>泉司〔2021〕90号</w:t>
      </w:r>
    </w:p>
    <w:p>
      <w:pPr>
        <w:autoSpaceDE w:val="0"/>
        <w:spacing w:line="490" w:lineRule="exact"/>
        <w:jc w:val="cente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151130</wp:posOffset>
                </wp:positionV>
                <wp:extent cx="5829300" cy="0"/>
                <wp:effectExtent l="0" t="12700" r="0" b="12700"/>
                <wp:wrapNone/>
                <wp:docPr id="1" name="直接连接符 1"/>
                <wp:cNvGraphicFramePr/>
                <a:graphic xmlns:a="http://schemas.openxmlformats.org/drawingml/2006/main">
                  <a:graphicData uri="http://schemas.microsoft.com/office/word/2010/wordprocessingShape">
                    <wps:wsp>
                      <wps:cNvSpPr/>
                      <wps:spPr>
                        <a:xfrm>
                          <a:off x="0" y="0"/>
                          <a:ext cx="58293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1.9pt;height:0pt;width:459pt;z-index:251659264;mso-width-relative:page;mso-height-relative:page;" filled="f" stroked="t" coordsize="21600,21600" o:gfxdata="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U2mvjTAAAABgEAAA8AAAAAAAAAAQAgAAAAIgAAAGRycy9kb3ducmV2LnhtbFBLAQIUABQA&#10;AAAIAIdO4kDSZzwS9QEAAOUDAAAOAAAAAAAAAAEAIAAAACIBAABkcnMvZTJvRG9jLnhtbFBLBQYA&#10;AAAABgAGAFkBAACJBQAAAAA=&#10;">
                <v:path arrowok="t"/>
                <v:fill on="f" focussize="0,0"/>
                <v:stroke weight="2pt" color="#FF0000"/>
                <v:imagedata o:title=""/>
                <o:lock v:ext="edit"/>
              </v:line>
            </w:pict>
          </mc:Fallback>
        </mc:AlternateContent>
      </w:r>
    </w:p>
    <w:p>
      <w:pPr>
        <w:widowControl/>
        <w:shd w:val="clear" w:color="auto" w:fill="FFFFFF"/>
        <w:spacing w:line="560" w:lineRule="exact"/>
        <w:jc w:val="center"/>
        <w:rPr>
          <w:rFonts w:hint="eastAsia" w:ascii="方正小标宋简体" w:hAnsi="fzxbs" w:eastAsia="方正小标宋简体" w:cs="fzxbs"/>
          <w:color w:val="000000"/>
          <w:kern w:val="0"/>
          <w:sz w:val="44"/>
          <w:szCs w:val="44"/>
          <w:shd w:val="clear" w:color="auto" w:fill="FFFFFF"/>
          <w:lang w:bidi="ar"/>
        </w:rPr>
      </w:pPr>
    </w:p>
    <w:p>
      <w:pPr>
        <w:widowControl/>
        <w:shd w:val="clear" w:color="auto" w:fill="FFFFFF"/>
        <w:spacing w:line="560" w:lineRule="exact"/>
        <w:jc w:val="center"/>
        <w:rPr>
          <w:rFonts w:hint="eastAsia" w:ascii="方正小标宋简体" w:hAnsi="fzxbs" w:eastAsia="方正小标宋简体" w:cs="fzxbs"/>
          <w:color w:val="000000"/>
          <w:sz w:val="44"/>
          <w:szCs w:val="44"/>
        </w:rPr>
      </w:pPr>
      <w:bookmarkStart w:id="0" w:name="_GoBack"/>
      <w:r>
        <w:rPr>
          <w:rFonts w:hint="eastAsia" w:ascii="方正小标宋简体" w:hAnsi="fzxbs" w:eastAsia="方正小标宋简体" w:cs="fzxbs"/>
          <w:color w:val="000000"/>
          <w:kern w:val="0"/>
          <w:sz w:val="44"/>
          <w:szCs w:val="44"/>
          <w:shd w:val="clear" w:color="auto" w:fill="FFFFFF"/>
          <w:lang w:bidi="ar"/>
        </w:rPr>
        <w:t>泉州市司法局 泉州市财政局关于印发泉州市法律援助经费使用管理规定的通知</w:t>
      </w:r>
      <w:bookmarkEnd w:id="0"/>
    </w:p>
    <w:p>
      <w:pPr>
        <w:pStyle w:val="5"/>
        <w:widowControl/>
        <w:spacing w:before="0" w:beforeAutospacing="0" w:after="0" w:afterAutospacing="0" w:line="560" w:lineRule="exact"/>
        <w:ind w:firstLine="640" w:firstLineChars="200"/>
        <w:rPr>
          <w:rFonts w:hint="eastAsia" w:ascii="仿宋_GB2312" w:hAnsi="宋体" w:eastAsia="仿宋_GB2312" w:cs="宋体"/>
          <w:color w:val="000000"/>
          <w:sz w:val="32"/>
          <w:szCs w:val="32"/>
          <w:lang w:val="en"/>
        </w:rPr>
      </w:pPr>
      <w:r>
        <w:rPr>
          <w:rFonts w:hint="eastAsia" w:ascii="宋体" w:hAnsi="宋体" w:eastAsia="仿宋_GB2312" w:cs="宋体"/>
          <w:color w:val="000000"/>
          <w:sz w:val="32"/>
          <w:szCs w:val="32"/>
          <w:shd w:val="clear" w:color="auto" w:fill="FFFFFF"/>
        </w:rPr>
        <w:t> </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各县（市、区）司法局、财政局，泉州台商投资区综治工作办,泉州台商投资区管委会财政局，市法律援助中心：</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为规范和加强我市法律援助经费的使用与管理，切实保障人民群众法律援助的需求，结合我市实际，制定了《泉州市法律援助经费使用管理规定》，现印发给你们，请遵照执行。</w:t>
      </w:r>
    </w:p>
    <w:p>
      <w:pPr>
        <w:widowControl/>
        <w:spacing w:line="560" w:lineRule="exact"/>
        <w:ind w:firstLine="640" w:firstLineChars="200"/>
        <w:rPr>
          <w:rFonts w:hint="eastAsia" w:ascii="宋体" w:hAnsi="宋体" w:eastAsia="仿宋_GB2312" w:cs="宋体"/>
          <w:color w:val="000000"/>
          <w:kern w:val="0"/>
          <w:sz w:val="32"/>
          <w:szCs w:val="32"/>
          <w:shd w:val="clear" w:color="auto" w:fill="FFFFFF"/>
          <w:lang w:bidi="ar"/>
        </w:rPr>
      </w:pPr>
      <w:r>
        <w:rPr>
          <w:rFonts w:hint="eastAsia" w:ascii="宋体" w:hAnsi="宋体" w:eastAsia="仿宋_GB2312" w:cs="宋体"/>
          <w:color w:val="000000"/>
          <w:kern w:val="0"/>
          <w:sz w:val="32"/>
          <w:szCs w:val="32"/>
          <w:shd w:val="clear" w:color="auto" w:fill="FFFFFF"/>
          <w:lang w:bidi="ar"/>
        </w:rPr>
        <w:t> </w:t>
      </w:r>
    </w:p>
    <w:p>
      <w:pPr>
        <w:pStyle w:val="2"/>
        <w:rPr>
          <w:rFonts w:hint="eastAsia"/>
        </w:rPr>
      </w:pPr>
    </w:p>
    <w:p>
      <w:pPr>
        <w:pStyle w:val="5"/>
        <w:widowControl/>
        <w:spacing w:before="0" w:beforeAutospacing="0" w:after="0" w:afterAutospacing="0" w:line="560" w:lineRule="exact"/>
        <w:ind w:left="0" w:leftChars="0" w:firstLine="0" w:firstLineChars="0"/>
        <w:jc w:val="center"/>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xml:space="preserve">泉州市司法局         </w:t>
      </w:r>
      <w:r>
        <w:rPr>
          <w:rFonts w:hint="eastAsia" w:ascii="仿宋_GB2312" w:hAnsi="宋体" w:eastAsia="仿宋_GB2312" w:cs="宋体"/>
          <w:color w:val="000000"/>
          <w:sz w:val="32"/>
          <w:szCs w:val="32"/>
          <w:shd w:val="clear" w:color="auto" w:fill="FFFFFF"/>
          <w:lang w:val="en-US" w:eastAsia="zh-CN"/>
        </w:rPr>
        <w:t xml:space="preserve">     </w:t>
      </w:r>
      <w:r>
        <w:rPr>
          <w:rFonts w:hint="eastAsia" w:ascii="仿宋_GB2312" w:hAnsi="宋体" w:eastAsia="仿宋_GB2312" w:cs="宋体"/>
          <w:color w:val="000000"/>
          <w:sz w:val="32"/>
          <w:szCs w:val="32"/>
          <w:shd w:val="clear" w:color="auto" w:fill="FFFFFF"/>
        </w:rPr>
        <w:t xml:space="preserve"> 泉州市财政局</w:t>
      </w:r>
    </w:p>
    <w:p>
      <w:pPr>
        <w:pStyle w:val="5"/>
        <w:widowControl/>
        <w:spacing w:before="0" w:beforeAutospacing="0" w:after="0" w:afterAutospacing="0" w:line="560" w:lineRule="exact"/>
        <w:ind w:right="1063" w:rightChars="506" w:firstLine="640" w:firstLineChars="200"/>
        <w:jc w:val="righ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2021年12月17日</w:t>
      </w:r>
    </w:p>
    <w:p>
      <w:pPr>
        <w:widowControl/>
        <w:spacing w:line="560" w:lineRule="exact"/>
        <w:ind w:firstLine="640" w:firstLineChars="200"/>
        <w:jc w:val="center"/>
        <w:rPr>
          <w:rFonts w:hint="eastAsia" w:ascii="仿宋_GB2312" w:hAnsi="宋体" w:eastAsia="仿宋_GB2312" w:cs="宋体"/>
          <w:color w:val="000000"/>
          <w:sz w:val="32"/>
          <w:szCs w:val="32"/>
        </w:rPr>
      </w:pPr>
      <w:r>
        <w:rPr>
          <w:rFonts w:hint="eastAsia" w:ascii="宋体" w:hAnsi="宋体" w:eastAsia="仿宋_GB2312" w:cs="宋体"/>
          <w:color w:val="000000"/>
          <w:kern w:val="0"/>
          <w:sz w:val="32"/>
          <w:szCs w:val="32"/>
          <w:shd w:val="clear" w:color="auto" w:fill="FFFFFF"/>
          <w:lang w:bidi="ar"/>
        </w:rPr>
        <w:t> </w:t>
      </w:r>
    </w:p>
    <w:p>
      <w:pPr>
        <w:widowControl/>
        <w:spacing w:line="560" w:lineRule="exact"/>
        <w:ind w:left="0" w:leftChars="0"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shd w:val="clear" w:color="auto" w:fill="FFFFFF"/>
          <w:lang w:bidi="ar"/>
        </w:rPr>
        <w:t>泉州市法律援助经费使用管理规定</w:t>
      </w:r>
    </w:p>
    <w:p>
      <w:pPr>
        <w:widowControl/>
        <w:spacing w:line="560" w:lineRule="exact"/>
        <w:ind w:firstLine="640" w:firstLineChars="200"/>
        <w:jc w:val="center"/>
        <w:rPr>
          <w:rFonts w:hint="eastAsia" w:ascii="仿宋_GB2312" w:hAnsi="宋体" w:eastAsia="仿宋_GB2312" w:cs="宋体"/>
          <w:color w:val="000000"/>
          <w:sz w:val="32"/>
          <w:szCs w:val="32"/>
        </w:rPr>
      </w:pPr>
      <w:r>
        <w:rPr>
          <w:rFonts w:hint="eastAsia" w:ascii="宋体" w:hAnsi="宋体" w:eastAsia="仿宋_GB2312" w:cs="宋体"/>
          <w:color w:val="000000"/>
          <w:kern w:val="0"/>
          <w:sz w:val="32"/>
          <w:szCs w:val="32"/>
          <w:shd w:val="clear" w:color="auto" w:fill="FFFFFF"/>
          <w:lang w:bidi="ar"/>
        </w:rPr>
        <w:t> </w:t>
      </w:r>
    </w:p>
    <w:p>
      <w:pPr>
        <w:widowControl/>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一、总则</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一）为规范我市法律援助经费的使用与管理，切实保障经济困难的公民获得法律援助的权利，促进我市法律援助事业的健康发展，根据财政部、司法部《关于完善法律援助补贴标准的指导意见》（司发通〔2019〕27号），省财政厅、省司法厅《关于完善法律援助补贴标准有关事项的通知》（闽司〔2019〕212号）等相关规定，结合我市实际，制定本规定。</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（二）本规定所称法律援助经费（以下简称“援助经费”），是指由财政预算安排专项用于法律援助业务、法律援助办案补助、刑事案件律师辩护全覆盖等法律援助工作相关支出。</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（三）本规定所称的法律援助人员是指接受法律援助机构指派办理法律援助案件（事项）的律师、公证员、司法鉴定人、法律援助中心工作人员、基层法律服务工作者、社会组织人员和法律援助志愿者。</w:t>
      </w:r>
    </w:p>
    <w:p>
      <w:pPr>
        <w:widowControl/>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二、管理职责</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一）市司法局负责指导和监督援助经费的规范使用。主要包括：会同市财政局研究制订援助经费使用管理规定；协调和指导各县（市、区）司法行政部门、法律援助中心援助经费的使用和管理；援助经费的绩效管理、考核和信息公开。</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二）法律援助中心负责援助经费的具体管理工作。主要包括：提出援助经费预算安排建议和使用方案；援助经费的具体使用和管理工作；严格执行本规定的使用范围和标准，加强援助经费使用、核算、管理，加强绩效监控及评价，提高资金使用效益。</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（三）市财政局负责援助经费的预算批复和预算执行监督。主要包括：对援助经费预算安排建议进行审核、批复；加强援助经费使用情况和绩效管理工作的监督检查。</w:t>
      </w:r>
    </w:p>
    <w:p>
      <w:pPr>
        <w:widowControl/>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三、使用范围和标准</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一）法律援助业务经费，指开展法律援助业务发生的各项费用支出，具体包括：宣传培训、印刷法律文书、案件质量监管和评估、优秀案件评选、案件卷宗档案管理、调研以及法律援助信息系统建设、维护升级等费用。</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（二）法律援助办案补助经费，指法律援助机构按照规定支付给承办法律援助案件（事项）的法律援助人员的法律援助办案补贴、值班律师法律帮助补贴、法律咨询补贴等费用。</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1.法律援助办案补贴，指用于办理民事、刑事、行政代理或者辩护法律援助等案件的补贴。办案补贴标准根据承办法律援助案件（事项）的直接费用(含办理法律援助案件过程中实际产生的差旅费、邮电费、印刷费、调查取证费、翻译费、公证费、鉴定费等）、基本劳务费用等因素确定。办理法律援助案件（事项）过程中实际产生的翻译费经法律援助机构核实后予以安排，其他费用采取包干不再另行支付。</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办案补贴采取个案包干补贴的形式支付给承办法律援助案件（事项）的法律援助人员。办案补贴按件计算，区别案件类型、法律程序不同阶段及办案区域等执行以下标准，其中：刑事案件每件1500—6000元；民事、行政、劳动仲裁案件每件1500—5500元；非诉讼法律事务每件300—3000元（具体标准详见附表）。</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2.值班律师法律帮助补贴，指法律援助机构派驻在人民法院、人民检察院、看守所的值班律师，为没有辩护人的犯罪嫌疑人、被告人提供法律咨询、转交法律援助申请等法律帮助的补贴。</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（1）值班律师为犯罪嫌疑人、被告人提供法律帮助的，500元/天（不满半天按半天的补贴支付，下同）。</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2）值班律师为认罪认罚案件的犯罪嫌疑人、被告人提供法律帮助的，500元/天;认罪认罚法律帮助工作量特别大的案件，法律援助中心可根据值班律师完成的阅卷、向检察院等办案部门提出的具体意见、建议以及申请变更强制措施等实际法律帮助工作情况进行审核确认，按照600-800元/件支付办案补贴。</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3.法律咨询补贴，是指在公共法律服务中心值班，提供接待来访、接听电话（含12348公共法律服务热线）、在线解答咨询服务的补贴，每人每天400元。</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4.法律援助人员参加法律援助中心安排的其他法律援助工作的，每人每天500元。</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（三）法律援助其他支出，指上述各项支出以外的与开展法律援助业务相关的各项支出。</w:t>
      </w:r>
    </w:p>
    <w:p>
      <w:pPr>
        <w:widowControl/>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四、使用管理</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（一）法律援助案件（事项）由法律援助中心统一审查、统一批准、统一指派、统一监督，未经法律援助中心审查、批准、指派，法律援助中心不承担法律援助费用。</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（二）法律援助中心应建立台账，列明承担的法律援助案件（事项）、时间、法律援助人员、办案补贴等，并负责每月汇总成册，以备检查。</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（三）法律援助人员应当在法律援助事项办结后30个工作日内，按规定向法律援助中心提交案件材料和结案报告。</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四）法律援助中心应严格按规定的标准进行审核，向法律援助人员支付法律援助补贴。法律援助机构工作人员，以及其他具有公职身份的基层法律服务工作者、社会组织人员等，承办法律援助案件（事项）按照本规定，由法律援助中心核实发放直接费用，不领取基本劳务费用。</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（五）有下列情形之一的，须减少或不支付法律援助办案补贴。</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1.须减少支付法律援助办案补贴的情形：</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（1）刑事案件依法提前终止援助的，法律援助人员仅完成阅卷、会见任一环节的，按25%支付办案补贴；仅完成阅卷、会见两个环节的，按50%支付办案补贴。</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2）民事（含劳动仲裁）、行政案件依法提前终止援助的，法律援助人员已约见受援人，开展实质性工作，未立案（未提交答辩意见）的，按25%支付办案补贴；已立案（提交答辩意见）的，按50%支付办案补贴；以和解撤诉或调解结案，法律援助人员没有参加调（和）解的，按50%支付办案补贴。</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2.不支付法律援助补贴的情形：</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（1）提交的结案材料不符合相关规定，经补正后仍不能符合规定的；</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（2）在法律援助事项办结后无故超过六个月仍未归档的；</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（3）因过失给受援人造成较大经济损失的；</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（4）收取受援人或其亲属财物或谋取其它不正当利益的；</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（5）因违法办案被受援人投诉，经查证属实的；</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（6）因法律援助人员原因造成案件重新指派的；</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（7）法律援助案件被终止，法律援助人员尚未提供实质性服务或虽已提供实质性服务但因法律援助人员原因终止的；</w:t>
      </w:r>
    </w:p>
    <w:p>
      <w:pPr>
        <w:widowControl/>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kern w:val="0"/>
          <w:sz w:val="32"/>
          <w:szCs w:val="32"/>
          <w:shd w:val="clear" w:color="auto" w:fill="FFFFFF"/>
          <w:lang w:bidi="ar"/>
        </w:rPr>
        <w:t>（8）存在其他违反法律法规规定行为的。</w:t>
      </w:r>
    </w:p>
    <w:p>
      <w:pPr>
        <w:pStyle w:val="5"/>
        <w:widowControl/>
        <w:shd w:val="clear" w:color="auto" w:fill="FFFFFF"/>
        <w:spacing w:before="0" w:beforeAutospacing="0" w:after="0" w:afterAutospacing="0" w:line="56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五、监督检查</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一）法律援助中心在使用援助经费时，应当严格执行国家有关财政财务规章制度和本规定的开支范围及开支标准，不得截留、挤占和挪用，不得擅自提高支出标准和扩大适用范围，不得用于发放规定之外的津补贴。</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（二）市司法局要加强对援助经费使用情况的追踪问效和指导监督。</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（三）市司法局和法律援助中心应自觉接受财政、审计等部门对援助经费使用情况的监督检查。</w:t>
      </w:r>
    </w:p>
    <w:p>
      <w:pPr>
        <w:pStyle w:val="5"/>
        <w:widowControl/>
        <w:shd w:val="clear" w:color="auto" w:fill="FFFFFF"/>
        <w:spacing w:before="0" w:beforeAutospacing="0" w:after="0" w:afterAutospacing="0" w:line="56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六、附则</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（一）各县（市、区）司法行政部门援助经费的使用管理参照本规定执行。</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（二）本规定由市司法局会同市财政局解释。</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（三）本规定自2022年1月1日起施行。新的法律援助补贴标准适用于2022年1月1日起受理的法律援助案件(事项）。</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宋体" w:hAnsi="宋体" w:eastAsia="仿宋_GB2312" w:cs="宋体"/>
          <w:color w:val="000000"/>
          <w:sz w:val="32"/>
          <w:szCs w:val="32"/>
          <w:shd w:val="clear" w:color="auto" w:fill="FFFFFF"/>
        </w:rPr>
        <w:t> </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附件：1.刑事案件办案补贴标准表</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宋体" w:hAnsi="宋体" w:eastAsia="仿宋_GB2312" w:cs="宋体"/>
          <w:color w:val="000000"/>
          <w:sz w:val="32"/>
          <w:szCs w:val="32"/>
          <w:shd w:val="clear" w:color="auto" w:fill="FFFFFF"/>
        </w:rPr>
        <w:t>   </w:t>
      </w:r>
      <w:r>
        <w:rPr>
          <w:rFonts w:hint="eastAsia" w:ascii="仿宋_GB2312" w:hAnsi="宋体" w:eastAsia="仿宋_GB2312" w:cs="宋体"/>
          <w:color w:val="000000"/>
          <w:sz w:val="32"/>
          <w:szCs w:val="32"/>
          <w:shd w:val="clear" w:color="auto" w:fill="FFFFFF"/>
        </w:rPr>
        <w:t>2.民事、行政、劳动仲裁等案件办案补贴标准表</w:t>
      </w:r>
    </w:p>
    <w:p>
      <w:pPr>
        <w:pStyle w:val="5"/>
        <w:widowControl/>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r>
        <w:rPr>
          <w:rFonts w:hint="eastAsia" w:ascii="宋体" w:hAnsi="宋体" w:eastAsia="仿宋_GB2312" w:cs="宋体"/>
          <w:color w:val="000000"/>
          <w:sz w:val="32"/>
          <w:szCs w:val="32"/>
          <w:shd w:val="clear" w:color="auto" w:fill="FFFFFF"/>
        </w:rPr>
        <w:t>   </w:t>
      </w:r>
      <w:r>
        <w:rPr>
          <w:rFonts w:hint="eastAsia" w:ascii="仿宋_GB2312" w:hAnsi="宋体" w:eastAsia="仿宋_GB2312" w:cs="宋体"/>
          <w:color w:val="000000"/>
          <w:sz w:val="32"/>
          <w:szCs w:val="32"/>
          <w:shd w:val="clear" w:color="auto" w:fill="FFFFFF"/>
        </w:rPr>
        <w:t>3.非诉讼法律事务补贴标准表</w:t>
      </w:r>
    </w:p>
    <w:p>
      <w:pPr>
        <w:widowControl/>
        <w:spacing w:before="100" w:beforeAutospacing="1" w:after="100" w:afterAutospacing="1" w:line="500" w:lineRule="atLeast"/>
        <w:ind w:firstLine="140"/>
        <w:rPr>
          <w:rFonts w:ascii="宋体" w:hAnsi="宋体" w:eastAsia="宋体" w:cs="宋体"/>
        </w:rPr>
      </w:pPr>
      <w:r>
        <w:rPr>
          <w:rFonts w:ascii="宋体" w:hAnsi="宋体" w:eastAsia="宋体" w:cs="宋体"/>
          <w:color w:val="333333"/>
          <w:kern w:val="0"/>
          <w:sz w:val="24"/>
          <w:shd w:val="clear" w:color="auto" w:fill="FFFFFF"/>
          <w:lang w:bidi="ar"/>
        </w:rPr>
        <w:t> </w:t>
      </w:r>
    </w:p>
    <w:p>
      <w:pPr>
        <w:pStyle w:val="5"/>
        <w:widowControl/>
        <w:jc w:val="both"/>
        <w:rPr>
          <w:rFonts w:ascii="宋体" w:hAnsi="宋体" w:eastAsia="宋体" w:cs="宋体"/>
        </w:rPr>
      </w:pPr>
      <w:r>
        <w:rPr>
          <w:rFonts w:ascii="宋体" w:hAnsi="宋体" w:eastAsia="宋体" w:cs="宋体"/>
          <w:color w:val="333333"/>
          <w:sz w:val="32"/>
          <w:szCs w:val="32"/>
          <w:shd w:val="clear" w:color="auto" w:fill="FFFFFF"/>
        </w:rPr>
        <w:t> </w:t>
      </w:r>
    </w:p>
    <w:p>
      <w:pPr>
        <w:pStyle w:val="5"/>
        <w:widowControl/>
        <w:jc w:val="both"/>
        <w:rPr>
          <w:rFonts w:ascii="宋体" w:hAnsi="宋体" w:eastAsia="宋体" w:cs="宋体"/>
          <w:color w:val="333333"/>
          <w:sz w:val="32"/>
          <w:szCs w:val="32"/>
          <w:shd w:val="clear" w:color="auto" w:fill="FFFFFF"/>
        </w:rPr>
      </w:pPr>
    </w:p>
    <w:p>
      <w:pPr>
        <w:pStyle w:val="5"/>
        <w:widowControl/>
        <w:jc w:val="both"/>
        <w:rPr>
          <w:rFonts w:ascii="宋体" w:hAnsi="宋体" w:eastAsia="宋体" w:cs="宋体"/>
          <w:color w:val="333333"/>
          <w:sz w:val="32"/>
          <w:szCs w:val="32"/>
          <w:shd w:val="clear" w:color="auto" w:fill="FFFFFF"/>
        </w:rPr>
      </w:pPr>
    </w:p>
    <w:p>
      <w:pPr>
        <w:pStyle w:val="5"/>
        <w:widowControl/>
        <w:jc w:val="both"/>
        <w:rPr>
          <w:rFonts w:ascii="宋体" w:hAnsi="宋体" w:eastAsia="宋体" w:cs="宋体"/>
          <w:color w:val="333333"/>
          <w:sz w:val="32"/>
          <w:szCs w:val="32"/>
          <w:shd w:val="clear" w:color="auto" w:fill="FFFFFF"/>
        </w:rPr>
      </w:pPr>
    </w:p>
    <w:p>
      <w:pPr>
        <w:pStyle w:val="5"/>
        <w:widowControl/>
        <w:jc w:val="both"/>
        <w:rPr>
          <w:rFonts w:ascii="宋体" w:hAnsi="宋体" w:eastAsia="宋体" w:cs="宋体"/>
          <w:color w:val="333333"/>
          <w:sz w:val="32"/>
          <w:szCs w:val="32"/>
          <w:shd w:val="clear" w:color="auto" w:fill="FFFFFF"/>
        </w:rPr>
      </w:pPr>
    </w:p>
    <w:p>
      <w:pPr>
        <w:pStyle w:val="5"/>
        <w:widowControl/>
        <w:jc w:val="both"/>
        <w:rPr>
          <w:rFonts w:ascii="宋体" w:hAnsi="宋体" w:eastAsia="宋体" w:cs="宋体"/>
          <w:color w:val="333333"/>
          <w:sz w:val="32"/>
          <w:szCs w:val="32"/>
          <w:shd w:val="clear" w:color="auto" w:fill="FFFFFF"/>
        </w:rPr>
      </w:pPr>
    </w:p>
    <w:p>
      <w:pPr>
        <w:pStyle w:val="5"/>
        <w:widowControl/>
        <w:jc w:val="both"/>
        <w:rPr>
          <w:rFonts w:ascii="宋体" w:hAnsi="宋体" w:eastAsia="宋体" w:cs="宋体"/>
          <w:color w:val="333333"/>
          <w:sz w:val="32"/>
          <w:szCs w:val="32"/>
          <w:shd w:val="clear" w:color="auto" w:fill="FFFFFF"/>
        </w:rPr>
      </w:pPr>
    </w:p>
    <w:p>
      <w:pPr>
        <w:pStyle w:val="5"/>
        <w:widowControl/>
        <w:jc w:val="both"/>
        <w:rPr>
          <w:rFonts w:ascii="宋体" w:hAnsi="宋体" w:eastAsia="宋体" w:cs="宋体"/>
          <w:color w:val="333333"/>
          <w:sz w:val="32"/>
          <w:szCs w:val="32"/>
          <w:shd w:val="clear" w:color="auto" w:fill="FFFFFF"/>
        </w:rPr>
      </w:pPr>
    </w:p>
    <w:p>
      <w:pPr>
        <w:pStyle w:val="5"/>
        <w:widowControl/>
        <w:jc w:val="both"/>
        <w:rPr>
          <w:rFonts w:ascii="宋体" w:hAnsi="宋体" w:eastAsia="宋体" w:cs="宋体"/>
          <w:color w:val="333333"/>
          <w:sz w:val="32"/>
          <w:szCs w:val="32"/>
          <w:shd w:val="clear" w:color="auto" w:fill="FFFFFF"/>
        </w:rPr>
      </w:pPr>
    </w:p>
    <w:p>
      <w:pPr>
        <w:pStyle w:val="5"/>
        <w:widowControl/>
        <w:jc w:val="both"/>
        <w:rPr>
          <w:rFonts w:hint="eastAsia" w:ascii="黑体" w:hAnsi="黑体" w:eastAsia="黑体" w:cs="黑体"/>
          <w:sz w:val="32"/>
          <w:szCs w:val="32"/>
        </w:rPr>
      </w:pPr>
      <w:r>
        <w:rPr>
          <w:rFonts w:hint="eastAsia" w:ascii="黑体" w:hAnsi="黑体" w:eastAsia="黑体" w:cs="黑体"/>
          <w:color w:val="333333"/>
          <w:sz w:val="32"/>
          <w:szCs w:val="32"/>
          <w:shd w:val="clear" w:color="auto" w:fill="FFFFFF"/>
        </w:rPr>
        <w:t>附件1</w:t>
      </w:r>
    </w:p>
    <w:p>
      <w:pPr>
        <w:pStyle w:val="5"/>
        <w:widowControl/>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shd w:val="clear" w:color="auto" w:fill="FFFFFF"/>
        </w:rPr>
        <w:t>刑事案件办案补贴标准表</w:t>
      </w:r>
    </w:p>
    <w:tbl>
      <w:tblPr>
        <w:tblStyle w:val="6"/>
        <w:tblW w:w="0" w:type="auto"/>
        <w:jc w:val="center"/>
        <w:tblLayout w:type="fixed"/>
        <w:tblCellMar>
          <w:top w:w="15" w:type="dxa"/>
          <w:left w:w="15" w:type="dxa"/>
          <w:bottom w:w="15" w:type="dxa"/>
          <w:right w:w="15" w:type="dxa"/>
        </w:tblCellMar>
      </w:tblPr>
      <w:tblGrid>
        <w:gridCol w:w="3026"/>
        <w:gridCol w:w="806"/>
        <w:gridCol w:w="1758"/>
        <w:gridCol w:w="1623"/>
        <w:gridCol w:w="901"/>
        <w:gridCol w:w="1716"/>
      </w:tblGrid>
      <w:tr>
        <w:tblPrEx>
          <w:tblCellMar>
            <w:top w:w="15" w:type="dxa"/>
            <w:left w:w="15" w:type="dxa"/>
            <w:bottom w:w="15" w:type="dxa"/>
            <w:right w:w="15" w:type="dxa"/>
          </w:tblCellMar>
        </w:tblPrEx>
        <w:trPr>
          <w:trHeight w:val="522" w:hRule="atLeast"/>
          <w:jc w:val="center"/>
        </w:trPr>
        <w:tc>
          <w:tcPr>
            <w:tcW w:w="3026"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项目名称</w:t>
            </w:r>
          </w:p>
        </w:tc>
        <w:tc>
          <w:tcPr>
            <w:tcW w:w="6804"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补贴标准（元/件）</w:t>
            </w:r>
          </w:p>
        </w:tc>
      </w:tr>
      <w:tr>
        <w:tblPrEx>
          <w:tblCellMar>
            <w:top w:w="15" w:type="dxa"/>
            <w:left w:w="15" w:type="dxa"/>
            <w:bottom w:w="15" w:type="dxa"/>
            <w:right w:w="15" w:type="dxa"/>
          </w:tblCellMar>
        </w:tblPrEx>
        <w:trPr>
          <w:trHeight w:val="1180" w:hRule="atLeast"/>
          <w:jc w:val="center"/>
        </w:trPr>
        <w:tc>
          <w:tcPr>
            <w:tcW w:w="3026"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市区</w:t>
            </w:r>
          </w:p>
        </w:tc>
        <w:tc>
          <w:tcPr>
            <w:tcW w:w="17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泉港、晋江、石狮、南安、惠安</w:t>
            </w:r>
          </w:p>
        </w:tc>
        <w:tc>
          <w:tcPr>
            <w:tcW w:w="162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安溪、永春、德化</w:t>
            </w:r>
          </w:p>
        </w:tc>
        <w:tc>
          <w:tcPr>
            <w:tcW w:w="9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跨设区市</w:t>
            </w:r>
          </w:p>
        </w:tc>
        <w:tc>
          <w:tcPr>
            <w:tcW w:w="17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跨省</w:t>
            </w:r>
          </w:p>
        </w:tc>
      </w:tr>
      <w:tr>
        <w:tblPrEx>
          <w:tblCellMar>
            <w:top w:w="15" w:type="dxa"/>
            <w:left w:w="15" w:type="dxa"/>
            <w:bottom w:w="15" w:type="dxa"/>
            <w:right w:w="15" w:type="dxa"/>
          </w:tblCellMar>
        </w:tblPrEx>
        <w:trPr>
          <w:trHeight w:val="757" w:hRule="atLeast"/>
          <w:jc w:val="center"/>
        </w:trPr>
        <w:tc>
          <w:tcPr>
            <w:tcW w:w="302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侦查阶段、</w:t>
            </w:r>
          </w:p>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审查起诉阶段</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1500</w:t>
            </w: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2000</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9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17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5000</w:t>
            </w:r>
          </w:p>
        </w:tc>
      </w:tr>
      <w:tr>
        <w:tblPrEx>
          <w:tblCellMar>
            <w:top w:w="15" w:type="dxa"/>
            <w:left w:w="15" w:type="dxa"/>
            <w:bottom w:w="15" w:type="dxa"/>
            <w:right w:w="15" w:type="dxa"/>
          </w:tblCellMar>
        </w:tblPrEx>
        <w:trPr>
          <w:trHeight w:val="522" w:hRule="atLeast"/>
          <w:jc w:val="center"/>
        </w:trPr>
        <w:tc>
          <w:tcPr>
            <w:tcW w:w="302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中级法院一审案件</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4500</w:t>
            </w:r>
          </w:p>
        </w:tc>
        <w:tc>
          <w:tcPr>
            <w:tcW w:w="9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5500</w:t>
            </w:r>
          </w:p>
        </w:tc>
        <w:tc>
          <w:tcPr>
            <w:tcW w:w="17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6000</w:t>
            </w:r>
          </w:p>
        </w:tc>
      </w:tr>
      <w:tr>
        <w:tblPrEx>
          <w:tblCellMar>
            <w:top w:w="15" w:type="dxa"/>
            <w:left w:w="15" w:type="dxa"/>
            <w:bottom w:w="15" w:type="dxa"/>
            <w:right w:w="15" w:type="dxa"/>
          </w:tblCellMar>
        </w:tblPrEx>
        <w:trPr>
          <w:trHeight w:val="522" w:hRule="atLeast"/>
          <w:jc w:val="center"/>
        </w:trPr>
        <w:tc>
          <w:tcPr>
            <w:tcW w:w="302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基层法院一审案件</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3000</w:t>
            </w: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c>
          <w:tcPr>
            <w:tcW w:w="9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5000</w:t>
            </w:r>
          </w:p>
        </w:tc>
        <w:tc>
          <w:tcPr>
            <w:tcW w:w="17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5500</w:t>
            </w:r>
          </w:p>
        </w:tc>
      </w:tr>
      <w:tr>
        <w:tblPrEx>
          <w:tblCellMar>
            <w:top w:w="15" w:type="dxa"/>
            <w:left w:w="15" w:type="dxa"/>
            <w:bottom w:w="15" w:type="dxa"/>
            <w:right w:w="15" w:type="dxa"/>
          </w:tblCellMar>
        </w:tblPrEx>
        <w:trPr>
          <w:trHeight w:val="808" w:hRule="atLeast"/>
          <w:jc w:val="center"/>
        </w:trPr>
        <w:tc>
          <w:tcPr>
            <w:tcW w:w="302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中级法院、省高级法院二审开庭审理案件</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3000</w:t>
            </w: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c>
          <w:tcPr>
            <w:tcW w:w="9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5000</w:t>
            </w:r>
          </w:p>
        </w:tc>
        <w:tc>
          <w:tcPr>
            <w:tcW w:w="17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5500</w:t>
            </w:r>
          </w:p>
        </w:tc>
      </w:tr>
      <w:tr>
        <w:tblPrEx>
          <w:tblCellMar>
            <w:top w:w="15" w:type="dxa"/>
            <w:left w:w="15" w:type="dxa"/>
            <w:bottom w:w="15" w:type="dxa"/>
            <w:right w:w="15" w:type="dxa"/>
          </w:tblCellMar>
        </w:tblPrEx>
        <w:trPr>
          <w:trHeight w:val="777" w:hRule="atLeast"/>
          <w:jc w:val="center"/>
        </w:trPr>
        <w:tc>
          <w:tcPr>
            <w:tcW w:w="302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中级法院、省高级法院二审未开庭审理案件</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3000</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9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4500</w:t>
            </w:r>
          </w:p>
        </w:tc>
        <w:tc>
          <w:tcPr>
            <w:tcW w:w="17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5000</w:t>
            </w:r>
          </w:p>
        </w:tc>
      </w:tr>
      <w:tr>
        <w:tblPrEx>
          <w:tblCellMar>
            <w:top w:w="15" w:type="dxa"/>
            <w:left w:w="15" w:type="dxa"/>
            <w:bottom w:w="15" w:type="dxa"/>
            <w:right w:w="15" w:type="dxa"/>
          </w:tblCellMar>
        </w:tblPrEx>
        <w:trPr>
          <w:trHeight w:val="759" w:hRule="atLeast"/>
          <w:jc w:val="center"/>
        </w:trPr>
        <w:tc>
          <w:tcPr>
            <w:tcW w:w="302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刑事被告人强制医疗通知代理案件</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2000</w:t>
            </w: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3000</w:t>
            </w:r>
          </w:p>
        </w:tc>
        <w:tc>
          <w:tcPr>
            <w:tcW w:w="9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c>
          <w:tcPr>
            <w:tcW w:w="17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5000</w:t>
            </w:r>
          </w:p>
        </w:tc>
      </w:tr>
      <w:tr>
        <w:tblPrEx>
          <w:tblCellMar>
            <w:top w:w="15" w:type="dxa"/>
            <w:left w:w="15" w:type="dxa"/>
            <w:bottom w:w="15" w:type="dxa"/>
            <w:right w:w="15" w:type="dxa"/>
          </w:tblCellMar>
        </w:tblPrEx>
        <w:trPr>
          <w:trHeight w:val="522" w:hRule="atLeast"/>
          <w:jc w:val="center"/>
        </w:trPr>
        <w:tc>
          <w:tcPr>
            <w:tcW w:w="302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公开听证的申诉案件</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2000</w:t>
            </w: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3000</w:t>
            </w:r>
          </w:p>
        </w:tc>
        <w:tc>
          <w:tcPr>
            <w:tcW w:w="9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c>
          <w:tcPr>
            <w:tcW w:w="17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5300</w:t>
            </w:r>
          </w:p>
        </w:tc>
      </w:tr>
      <w:tr>
        <w:tblPrEx>
          <w:tblCellMar>
            <w:top w:w="15" w:type="dxa"/>
            <w:left w:w="15" w:type="dxa"/>
            <w:bottom w:w="15" w:type="dxa"/>
            <w:right w:w="15" w:type="dxa"/>
          </w:tblCellMar>
        </w:tblPrEx>
        <w:trPr>
          <w:trHeight w:val="704" w:hRule="atLeast"/>
          <w:jc w:val="center"/>
        </w:trPr>
        <w:tc>
          <w:tcPr>
            <w:tcW w:w="302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未公开听证的</w:t>
            </w:r>
          </w:p>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申诉案件</w:t>
            </w:r>
          </w:p>
        </w:tc>
        <w:tc>
          <w:tcPr>
            <w:tcW w:w="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1500</w:t>
            </w:r>
          </w:p>
        </w:tc>
        <w:tc>
          <w:tcPr>
            <w:tcW w:w="1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2000</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9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17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5000</w:t>
            </w:r>
          </w:p>
        </w:tc>
      </w:tr>
      <w:tr>
        <w:tblPrEx>
          <w:tblCellMar>
            <w:top w:w="15" w:type="dxa"/>
            <w:left w:w="15" w:type="dxa"/>
            <w:bottom w:w="15" w:type="dxa"/>
            <w:right w:w="15" w:type="dxa"/>
          </w:tblCellMar>
        </w:tblPrEx>
        <w:trPr>
          <w:trHeight w:val="1932" w:hRule="atLeast"/>
          <w:jc w:val="center"/>
        </w:trPr>
        <w:tc>
          <w:tcPr>
            <w:tcW w:w="983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5"/>
              <w:widowControl/>
              <w:spacing w:line="340" w:lineRule="atLeas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备注：1、同案犯罪嫌疑人、被告人8人—15人或同案犯参与作案次数总和达到25起—35起，按2个案件计付办案补贴；16人—25人或作案次数总和达到36起—45起，按3个案件计付办案补贴；26人—35人或作案次数总和达到46起—55起，按4个案件计付办案补贴；犯罪嫌疑人、被告人超过35人的或作案次数超过55起的，每增加5人或作案次数每增加10起，即增加1个案件计付办案补贴，但最高不超过8个案件。2、其他疑难复杂案件（包含但不限于卷宗材料特别多）经承办人提出意见，市中心集体讨论，可以适当提高补贴，但最高不超过6个案件。3、是否跨区域办案以开庭或会见地点为判断依据；到市看守所会见的视为在市区内办案。</w:t>
            </w:r>
          </w:p>
        </w:tc>
      </w:tr>
    </w:tbl>
    <w:p>
      <w:pPr>
        <w:pStyle w:val="5"/>
        <w:widowControl/>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附件2</w:t>
      </w:r>
    </w:p>
    <w:p>
      <w:pPr>
        <w:pStyle w:val="5"/>
        <w:widowControl/>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shd w:val="clear" w:color="auto" w:fill="FFFFFF"/>
        </w:rPr>
        <w:t>民事、行政、劳动仲裁等案件办案补贴标准表</w:t>
      </w:r>
    </w:p>
    <w:tbl>
      <w:tblPr>
        <w:tblStyle w:val="6"/>
        <w:tblpPr w:leftFromText="180" w:rightFromText="180" w:vertAnchor="text" w:horzAnchor="page" w:tblpX="1415" w:tblpY="373"/>
        <w:tblOverlap w:val="never"/>
        <w:tblW w:w="0" w:type="auto"/>
        <w:tblInd w:w="0" w:type="dxa"/>
        <w:tblLayout w:type="fixed"/>
        <w:tblCellMar>
          <w:top w:w="15" w:type="dxa"/>
          <w:left w:w="15" w:type="dxa"/>
          <w:bottom w:w="15" w:type="dxa"/>
          <w:right w:w="15" w:type="dxa"/>
        </w:tblCellMar>
      </w:tblPr>
      <w:tblGrid>
        <w:gridCol w:w="3400"/>
        <w:gridCol w:w="848"/>
        <w:gridCol w:w="2031"/>
        <w:gridCol w:w="1599"/>
        <w:gridCol w:w="945"/>
        <w:gridCol w:w="945"/>
      </w:tblGrid>
      <w:tr>
        <w:tblPrEx>
          <w:tblCellMar>
            <w:top w:w="15" w:type="dxa"/>
            <w:left w:w="15" w:type="dxa"/>
            <w:bottom w:w="15" w:type="dxa"/>
            <w:right w:w="15" w:type="dxa"/>
          </w:tblCellMar>
        </w:tblPrEx>
        <w:trPr>
          <w:trHeight w:val="662" w:hRule="atLeast"/>
        </w:trPr>
        <w:tc>
          <w:tcPr>
            <w:tcW w:w="3400"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项目名称</w:t>
            </w:r>
          </w:p>
        </w:tc>
        <w:tc>
          <w:tcPr>
            <w:tcW w:w="636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补贴标准（元/件）</w:t>
            </w:r>
          </w:p>
        </w:tc>
      </w:tr>
      <w:tr>
        <w:tblPrEx>
          <w:tblCellMar>
            <w:top w:w="15" w:type="dxa"/>
            <w:left w:w="15" w:type="dxa"/>
            <w:bottom w:w="15" w:type="dxa"/>
            <w:right w:w="15" w:type="dxa"/>
          </w:tblCellMar>
        </w:tblPrEx>
        <w:trPr>
          <w:trHeight w:val="720" w:hRule="atLeast"/>
        </w:trPr>
        <w:tc>
          <w:tcPr>
            <w:tcW w:w="3400"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8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市区</w:t>
            </w:r>
          </w:p>
        </w:tc>
        <w:tc>
          <w:tcPr>
            <w:tcW w:w="203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泉港、晋江、石狮、南安、惠安</w:t>
            </w:r>
          </w:p>
        </w:tc>
        <w:tc>
          <w:tcPr>
            <w:tcW w:w="159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安溪、永春、德化</w:t>
            </w:r>
          </w:p>
        </w:tc>
        <w:tc>
          <w:tcPr>
            <w:tcW w:w="94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跨设</w:t>
            </w:r>
          </w:p>
          <w:p>
            <w:pPr>
              <w:pStyle w:val="5"/>
              <w:widowControl/>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区市</w:t>
            </w:r>
          </w:p>
        </w:tc>
        <w:tc>
          <w:tcPr>
            <w:tcW w:w="94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跨省</w:t>
            </w:r>
          </w:p>
        </w:tc>
      </w:tr>
      <w:tr>
        <w:tblPrEx>
          <w:tblCellMar>
            <w:top w:w="15" w:type="dxa"/>
            <w:left w:w="15" w:type="dxa"/>
            <w:bottom w:w="15" w:type="dxa"/>
            <w:right w:w="15" w:type="dxa"/>
          </w:tblCellMar>
        </w:tblPrEx>
        <w:trPr>
          <w:trHeight w:val="748" w:hRule="atLeast"/>
        </w:trPr>
        <w:tc>
          <w:tcPr>
            <w:tcW w:w="34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6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民事（附民）、行政一审、</w:t>
            </w:r>
          </w:p>
          <w:p>
            <w:pPr>
              <w:pStyle w:val="5"/>
              <w:widowControl/>
              <w:spacing w:line="36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劳动仲裁案件</w:t>
            </w:r>
          </w:p>
        </w:tc>
        <w:tc>
          <w:tcPr>
            <w:tcW w:w="8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3000</w:t>
            </w:r>
          </w:p>
        </w:tc>
        <w:tc>
          <w:tcPr>
            <w:tcW w:w="20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5000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5500</w:t>
            </w:r>
          </w:p>
        </w:tc>
      </w:tr>
      <w:tr>
        <w:tblPrEx>
          <w:tblCellMar>
            <w:top w:w="15" w:type="dxa"/>
            <w:left w:w="15" w:type="dxa"/>
            <w:bottom w:w="15" w:type="dxa"/>
            <w:right w:w="15" w:type="dxa"/>
          </w:tblCellMar>
        </w:tblPrEx>
        <w:trPr>
          <w:trHeight w:val="773" w:hRule="atLeast"/>
        </w:trPr>
        <w:tc>
          <w:tcPr>
            <w:tcW w:w="34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6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民事（附民）、行政二审、申请撤销劳动仲裁裁决案件</w:t>
            </w:r>
          </w:p>
        </w:tc>
        <w:tc>
          <w:tcPr>
            <w:tcW w:w="8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20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3000</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4500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5000</w:t>
            </w:r>
          </w:p>
        </w:tc>
      </w:tr>
      <w:tr>
        <w:tblPrEx>
          <w:tblCellMar>
            <w:top w:w="15" w:type="dxa"/>
            <w:left w:w="15" w:type="dxa"/>
            <w:bottom w:w="15" w:type="dxa"/>
            <w:right w:w="15" w:type="dxa"/>
          </w:tblCellMar>
        </w:tblPrEx>
        <w:trPr>
          <w:trHeight w:val="756" w:hRule="atLeast"/>
        </w:trPr>
        <w:tc>
          <w:tcPr>
            <w:tcW w:w="34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6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公开听证的行政复议、</w:t>
            </w:r>
          </w:p>
          <w:p>
            <w:pPr>
              <w:pStyle w:val="5"/>
              <w:widowControl/>
              <w:spacing w:line="36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民事（附民）、行政执行案件</w:t>
            </w:r>
          </w:p>
        </w:tc>
        <w:tc>
          <w:tcPr>
            <w:tcW w:w="8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2000</w:t>
            </w:r>
          </w:p>
        </w:tc>
        <w:tc>
          <w:tcPr>
            <w:tcW w:w="20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3000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4500</w:t>
            </w:r>
          </w:p>
        </w:tc>
      </w:tr>
      <w:tr>
        <w:tblPrEx>
          <w:tblCellMar>
            <w:top w:w="15" w:type="dxa"/>
            <w:left w:w="15" w:type="dxa"/>
            <w:bottom w:w="15" w:type="dxa"/>
            <w:right w:w="15" w:type="dxa"/>
          </w:tblCellMar>
        </w:tblPrEx>
        <w:trPr>
          <w:trHeight w:val="778" w:hRule="atLeast"/>
        </w:trPr>
        <w:tc>
          <w:tcPr>
            <w:tcW w:w="34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6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未公开听证的行政复议、民事（附民）、行政执行案件</w:t>
            </w:r>
          </w:p>
        </w:tc>
        <w:tc>
          <w:tcPr>
            <w:tcW w:w="8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1500</w:t>
            </w:r>
          </w:p>
        </w:tc>
        <w:tc>
          <w:tcPr>
            <w:tcW w:w="20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2000</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r>
      <w:tr>
        <w:tblPrEx>
          <w:tblCellMar>
            <w:top w:w="15" w:type="dxa"/>
            <w:left w:w="15" w:type="dxa"/>
            <w:bottom w:w="15" w:type="dxa"/>
            <w:right w:w="15" w:type="dxa"/>
          </w:tblCellMar>
        </w:tblPrEx>
        <w:trPr>
          <w:trHeight w:val="532" w:hRule="atLeast"/>
        </w:trPr>
        <w:tc>
          <w:tcPr>
            <w:tcW w:w="34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6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公开听证的申诉案件</w:t>
            </w:r>
          </w:p>
        </w:tc>
        <w:tc>
          <w:tcPr>
            <w:tcW w:w="8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2000</w:t>
            </w:r>
          </w:p>
        </w:tc>
        <w:tc>
          <w:tcPr>
            <w:tcW w:w="20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3000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4500</w:t>
            </w:r>
          </w:p>
        </w:tc>
      </w:tr>
      <w:tr>
        <w:tblPrEx>
          <w:tblCellMar>
            <w:top w:w="15" w:type="dxa"/>
            <w:left w:w="15" w:type="dxa"/>
            <w:bottom w:w="15" w:type="dxa"/>
            <w:right w:w="15" w:type="dxa"/>
          </w:tblCellMar>
        </w:tblPrEx>
        <w:trPr>
          <w:trHeight w:val="532" w:hRule="atLeast"/>
        </w:trPr>
        <w:tc>
          <w:tcPr>
            <w:tcW w:w="34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6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未公开听证的申诉案件</w:t>
            </w:r>
          </w:p>
        </w:tc>
        <w:tc>
          <w:tcPr>
            <w:tcW w:w="8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1500</w:t>
            </w:r>
          </w:p>
        </w:tc>
        <w:tc>
          <w:tcPr>
            <w:tcW w:w="20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2000</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2500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3500</w:t>
            </w:r>
          </w:p>
        </w:tc>
        <w:tc>
          <w:tcPr>
            <w:tcW w:w="9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4000</w:t>
            </w:r>
          </w:p>
        </w:tc>
      </w:tr>
      <w:tr>
        <w:tblPrEx>
          <w:tblCellMar>
            <w:top w:w="15" w:type="dxa"/>
            <w:left w:w="15" w:type="dxa"/>
            <w:bottom w:w="15" w:type="dxa"/>
            <w:right w:w="15" w:type="dxa"/>
          </w:tblCellMar>
        </w:tblPrEx>
        <w:trPr>
          <w:trHeight w:val="777" w:hRule="atLeast"/>
        </w:trPr>
        <w:tc>
          <w:tcPr>
            <w:tcW w:w="34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36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再审案件</w:t>
            </w:r>
          </w:p>
        </w:tc>
        <w:tc>
          <w:tcPr>
            <w:tcW w:w="6368"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按同审级案件补贴标准支付</w:t>
            </w:r>
          </w:p>
        </w:tc>
      </w:tr>
      <w:tr>
        <w:tblPrEx>
          <w:tblCellMar>
            <w:top w:w="15" w:type="dxa"/>
            <w:left w:w="15" w:type="dxa"/>
            <w:bottom w:w="15" w:type="dxa"/>
            <w:right w:w="15" w:type="dxa"/>
          </w:tblCellMar>
        </w:tblPrEx>
        <w:trPr>
          <w:trHeight w:val="2287" w:hRule="atLeast"/>
        </w:trPr>
        <w:tc>
          <w:tcPr>
            <w:tcW w:w="9768"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备注：1、受援人数众多的同一民事案件，人数不足5人按一个案件计付办案补贴；5人—20人按两个案件计付办案补贴；21人—35人按三个案件计付办案补贴；36人-50人按四个案件计付办案补贴；超过50人的，每增加40人即增加一个案件计付办案补贴，但最多不超过8个案件计付办案补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leftChars="0" w:right="0" w:rightChars="0" w:firstLine="72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2、受援人数众多的同一执行案件按一个案件计付办案补贴。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3、办案区域以案件审理地为判断依据；到设区市外、省外鉴定或调查取证的，按跨设区市、跨省计付办案补贴。</w:t>
            </w:r>
          </w:p>
        </w:tc>
      </w:tr>
    </w:tbl>
    <w:p>
      <w:pPr>
        <w:pStyle w:val="5"/>
        <w:widowControl/>
        <w:jc w:val="both"/>
        <w:rPr>
          <w:rFonts w:hint="eastAsia" w:ascii="黑体" w:hAnsi="黑体" w:eastAsia="黑体" w:cs="黑体"/>
          <w:color w:val="000000"/>
          <w:sz w:val="32"/>
          <w:szCs w:val="32"/>
          <w:shd w:val="clear" w:color="auto" w:fill="FFFFFF"/>
        </w:rPr>
      </w:pPr>
    </w:p>
    <w:p>
      <w:pPr>
        <w:pStyle w:val="5"/>
        <w:widowControl/>
        <w:jc w:val="both"/>
        <w:rPr>
          <w:rFonts w:hint="eastAsia" w:ascii="黑体" w:hAnsi="黑体" w:eastAsia="黑体" w:cs="黑体"/>
          <w:sz w:val="32"/>
          <w:szCs w:val="32"/>
        </w:rPr>
      </w:pPr>
      <w:r>
        <w:rPr>
          <w:rFonts w:hint="eastAsia" w:ascii="黑体" w:hAnsi="黑体" w:eastAsia="黑体" w:cs="黑体"/>
          <w:color w:val="000000"/>
          <w:sz w:val="32"/>
          <w:szCs w:val="32"/>
          <w:shd w:val="clear" w:color="auto" w:fill="FFFFFF"/>
        </w:rPr>
        <w:t>附件3</w:t>
      </w:r>
    </w:p>
    <w:p>
      <w:pPr>
        <w:pStyle w:val="5"/>
        <w:widowControl/>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shd w:val="clear" w:color="auto" w:fill="FFFFFF"/>
        </w:rPr>
        <w:t>非诉讼法律事务补贴标准表</w:t>
      </w:r>
    </w:p>
    <w:p>
      <w:pPr>
        <w:pStyle w:val="5"/>
        <w:widowControl/>
        <w:jc w:val="both"/>
        <w:rPr>
          <w:rFonts w:ascii="宋体" w:hAnsi="宋体" w:eastAsia="宋体" w:cs="宋体"/>
        </w:rPr>
      </w:pPr>
      <w:r>
        <w:rPr>
          <w:rFonts w:ascii="宋体" w:hAnsi="宋体" w:eastAsia="宋体" w:cs="宋体"/>
          <w:color w:val="000000"/>
          <w:shd w:val="clear" w:color="auto" w:fill="FFFFFF"/>
        </w:rPr>
        <w:t> </w:t>
      </w:r>
    </w:p>
    <w:tbl>
      <w:tblPr>
        <w:tblStyle w:val="6"/>
        <w:tblW w:w="0" w:type="auto"/>
        <w:jc w:val="center"/>
        <w:tblLayout w:type="fixed"/>
        <w:tblCellMar>
          <w:top w:w="15" w:type="dxa"/>
          <w:left w:w="15" w:type="dxa"/>
          <w:bottom w:w="15" w:type="dxa"/>
          <w:right w:w="15" w:type="dxa"/>
        </w:tblCellMar>
      </w:tblPr>
      <w:tblGrid>
        <w:gridCol w:w="5655"/>
        <w:gridCol w:w="3364"/>
      </w:tblGrid>
      <w:tr>
        <w:tblPrEx>
          <w:tblCellMar>
            <w:top w:w="15" w:type="dxa"/>
            <w:left w:w="15" w:type="dxa"/>
            <w:bottom w:w="15" w:type="dxa"/>
            <w:right w:w="15" w:type="dxa"/>
          </w:tblCellMar>
        </w:tblPrEx>
        <w:trPr>
          <w:trHeight w:val="796" w:hRule="atLeast"/>
          <w:jc w:val="center"/>
        </w:trPr>
        <w:tc>
          <w:tcPr>
            <w:tcW w:w="565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项目名称</w:t>
            </w:r>
          </w:p>
        </w:tc>
        <w:tc>
          <w:tcPr>
            <w:tcW w:w="336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补贴标准</w:t>
            </w:r>
          </w:p>
        </w:tc>
      </w:tr>
      <w:tr>
        <w:tblPrEx>
          <w:tblCellMar>
            <w:top w:w="15" w:type="dxa"/>
            <w:left w:w="15" w:type="dxa"/>
            <w:bottom w:w="15" w:type="dxa"/>
            <w:right w:w="15" w:type="dxa"/>
          </w:tblCellMar>
        </w:tblPrEx>
        <w:trPr>
          <w:trHeight w:val="634" w:hRule="atLeast"/>
          <w:jc w:val="center"/>
        </w:trPr>
        <w:tc>
          <w:tcPr>
            <w:tcW w:w="56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代拟法律文书</w:t>
            </w:r>
          </w:p>
        </w:tc>
        <w:tc>
          <w:tcPr>
            <w:tcW w:w="336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300—1000元/件</w:t>
            </w:r>
          </w:p>
        </w:tc>
      </w:tr>
      <w:tr>
        <w:tblPrEx>
          <w:tblCellMar>
            <w:top w:w="15" w:type="dxa"/>
            <w:left w:w="15" w:type="dxa"/>
            <w:bottom w:w="15" w:type="dxa"/>
            <w:right w:w="15" w:type="dxa"/>
          </w:tblCellMar>
        </w:tblPrEx>
        <w:trPr>
          <w:trHeight w:val="651" w:hRule="atLeast"/>
          <w:jc w:val="center"/>
        </w:trPr>
        <w:tc>
          <w:tcPr>
            <w:tcW w:w="56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公证</w:t>
            </w:r>
          </w:p>
        </w:tc>
        <w:tc>
          <w:tcPr>
            <w:tcW w:w="336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300—1500元/件</w:t>
            </w:r>
          </w:p>
        </w:tc>
      </w:tr>
      <w:tr>
        <w:tblPrEx>
          <w:tblCellMar>
            <w:top w:w="15" w:type="dxa"/>
            <w:left w:w="15" w:type="dxa"/>
            <w:bottom w:w="15" w:type="dxa"/>
            <w:right w:w="15" w:type="dxa"/>
          </w:tblCellMar>
        </w:tblPrEx>
        <w:trPr>
          <w:trHeight w:val="698" w:hRule="atLeast"/>
          <w:jc w:val="center"/>
        </w:trPr>
        <w:tc>
          <w:tcPr>
            <w:tcW w:w="56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司法鉴定</w:t>
            </w:r>
          </w:p>
        </w:tc>
        <w:tc>
          <w:tcPr>
            <w:tcW w:w="336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300—1500元/件</w:t>
            </w:r>
          </w:p>
        </w:tc>
      </w:tr>
      <w:tr>
        <w:tblPrEx>
          <w:tblCellMar>
            <w:top w:w="15" w:type="dxa"/>
            <w:left w:w="15" w:type="dxa"/>
            <w:bottom w:w="15" w:type="dxa"/>
            <w:right w:w="15" w:type="dxa"/>
          </w:tblCellMar>
        </w:tblPrEx>
        <w:trPr>
          <w:trHeight w:val="668" w:hRule="atLeast"/>
          <w:jc w:val="center"/>
        </w:trPr>
        <w:tc>
          <w:tcPr>
            <w:tcW w:w="56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其它</w:t>
            </w:r>
          </w:p>
        </w:tc>
        <w:tc>
          <w:tcPr>
            <w:tcW w:w="336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400—3000元/件</w:t>
            </w:r>
          </w:p>
        </w:tc>
      </w:tr>
      <w:tr>
        <w:tblPrEx>
          <w:tblCellMar>
            <w:top w:w="15" w:type="dxa"/>
            <w:left w:w="15" w:type="dxa"/>
            <w:bottom w:w="15" w:type="dxa"/>
            <w:right w:w="15" w:type="dxa"/>
          </w:tblCellMar>
        </w:tblPrEx>
        <w:trPr>
          <w:trHeight w:val="698" w:hRule="atLeast"/>
          <w:jc w:val="center"/>
        </w:trPr>
        <w:tc>
          <w:tcPr>
            <w:tcW w:w="56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参与涉法信访案件</w:t>
            </w:r>
          </w:p>
        </w:tc>
        <w:tc>
          <w:tcPr>
            <w:tcW w:w="336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500元/天</w:t>
            </w:r>
          </w:p>
        </w:tc>
      </w:tr>
    </w:tbl>
    <w:p/>
    <w:p>
      <w:pPr>
        <w:pStyle w:val="2"/>
      </w:pPr>
    </w:p>
    <w:p>
      <w:pPr>
        <w:pStyle w:val="2"/>
      </w:pPr>
    </w:p>
    <w:p>
      <w:pPr>
        <w:pStyle w:val="2"/>
      </w:pPr>
    </w:p>
    <w:p>
      <w:pPr>
        <w:pStyle w:val="2"/>
      </w:pPr>
    </w:p>
    <w:p>
      <w:pPr>
        <w:pStyle w:val="2"/>
      </w:pPr>
    </w:p>
    <w:p>
      <w:pPr>
        <w:pStyle w:val="2"/>
      </w:pPr>
    </w:p>
    <w:p>
      <w:pPr>
        <w:pStyle w:val="2"/>
      </w:pPr>
    </w:p>
    <w:tbl>
      <w:tblPr>
        <w:tblStyle w:val="7"/>
        <w:tblpPr w:leftFromText="180" w:rightFromText="180" w:vertAnchor="text" w:horzAnchor="page" w:tblpX="1515" w:tblpY="1569"/>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0" w:type="dxa"/>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after="0" w:line="500" w:lineRule="exact"/>
              <w:ind w:left="210" w:leftChars="100" w:right="210" w:rightChars="10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泉州市司法局办公室</w:t>
            </w:r>
            <w:r>
              <w:rPr>
                <w:rFonts w:hint="eastAsia" w:ascii="仿宋_GB2312" w:hAnsi="仿宋_GB2312" w:eastAsia="仿宋_GB2312" w:cs="仿宋_GB2312"/>
                <w:sz w:val="28"/>
                <w:szCs w:val="28"/>
                <w:vertAlign w:val="baseline"/>
                <w:lang w:val="en-US" w:eastAsia="zh-CN"/>
              </w:rPr>
              <w:t xml:space="preserve">                      2021年12月17日印发</w:t>
            </w:r>
          </w:p>
        </w:tc>
      </w:tr>
    </w:tbl>
    <w:p>
      <w:pPr>
        <w:pStyle w:val="2"/>
      </w:pPr>
    </w:p>
    <w:p/>
    <w:sectPr>
      <w:headerReference r:id="rId3" w:type="default"/>
      <w:footerReference r:id="rId4" w:type="default"/>
      <w:pgSz w:w="11906" w:h="16838"/>
      <w:pgMar w:top="2098" w:right="1531" w:bottom="1701" w:left="1531"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fzxbs">
    <w:altName w:val="Times New Roman"/>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jMmM2YzU3OTYyNGI0YTFkZWY1MTNmNmZhMzNmODYifQ=="/>
  </w:docVars>
  <w:rsids>
    <w:rsidRoot w:val="648B3796"/>
    <w:rsid w:val="648B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kern w:val="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2023-11-21T03:37:00Z</dcterms:created>
  <dc:creator>乐兮兮</dc:creator>
  <cp:lastModifiedBy>乐兮兮</cp:lastModifiedBy>
  <dcterms:modified xsi:type="dcterms:W3CDTF">2023-11-21T03:37:43Z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D439967AD3564D938B3CBAB7A6D795BC_11</vt:lpwstr>
  </property>
</Properties>
</file>